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E7E" w:rsidRDefault="003C2E7E" w:rsidP="003C2E7E">
      <w:pPr>
        <w:rPr>
          <w:b/>
          <w:sz w:val="28"/>
        </w:rPr>
      </w:pPr>
      <w:r>
        <w:t xml:space="preserve"> </w:t>
      </w:r>
      <w:r w:rsidRPr="003C2E7E">
        <w:rPr>
          <w:b/>
          <w:sz w:val="28"/>
        </w:rPr>
        <w:t>SUSTAINABILITY ROOT CAUSE ANALYSIS (SRCA)</w:t>
      </w:r>
    </w:p>
    <w:p w:rsidR="003C2E7E" w:rsidRPr="003C2E7E" w:rsidRDefault="003C2E7E" w:rsidP="003C2E7E">
      <w:pPr>
        <w:pStyle w:val="Default"/>
        <w:rPr>
          <w:rFonts w:asciiTheme="minorHAnsi" w:hAnsiTheme="minorHAnsi"/>
          <w:sz w:val="20"/>
          <w:szCs w:val="20"/>
        </w:rPr>
      </w:pPr>
      <w:r w:rsidRPr="003C2E7E">
        <w:rPr>
          <w:rFonts w:asciiTheme="minorHAnsi" w:hAnsiTheme="minorHAnsi"/>
          <w:sz w:val="20"/>
          <w:szCs w:val="20"/>
        </w:rPr>
        <w:t xml:space="preserve">Helen H. Lou, Professor </w:t>
      </w:r>
    </w:p>
    <w:p w:rsidR="003C2E7E" w:rsidRPr="003C2E7E" w:rsidRDefault="003C2E7E" w:rsidP="003C2E7E">
      <w:pPr>
        <w:pStyle w:val="Default"/>
        <w:rPr>
          <w:rFonts w:asciiTheme="minorHAnsi" w:hAnsiTheme="minorHAnsi"/>
          <w:sz w:val="20"/>
          <w:szCs w:val="20"/>
        </w:rPr>
      </w:pPr>
      <w:r w:rsidRPr="003C2E7E">
        <w:rPr>
          <w:rFonts w:asciiTheme="minorHAnsi" w:hAnsiTheme="minorHAnsi"/>
          <w:sz w:val="20"/>
          <w:szCs w:val="20"/>
        </w:rPr>
        <w:t xml:space="preserve">Dan F. Smith Department of Chemical Engineering, Lamar University, Beaumont, TX77710 </w:t>
      </w:r>
    </w:p>
    <w:p w:rsidR="003C2E7E" w:rsidRPr="003C2E7E" w:rsidRDefault="003C2E7E" w:rsidP="003C2E7E">
      <w:pPr>
        <w:rPr>
          <w:b/>
          <w:sz w:val="20"/>
          <w:szCs w:val="20"/>
        </w:rPr>
      </w:pPr>
      <w:r w:rsidRPr="003C2E7E">
        <w:rPr>
          <w:sz w:val="20"/>
          <w:szCs w:val="20"/>
        </w:rPr>
        <w:t>Phone: 409-880-8207; Fax: 409-880-2197; E-mail: helen.lou@ lamar.edu</w:t>
      </w:r>
    </w:p>
    <w:p w:rsidR="00252D46" w:rsidRPr="00252D46" w:rsidRDefault="00252D46" w:rsidP="00AA0F76">
      <w:pPr>
        <w:spacing w:line="240" w:lineRule="auto"/>
        <w:rPr>
          <w:b/>
          <w:sz w:val="24"/>
        </w:rPr>
      </w:pPr>
      <w:r w:rsidRPr="00252D46">
        <w:rPr>
          <w:b/>
          <w:sz w:val="24"/>
        </w:rPr>
        <w:t>Introduction</w:t>
      </w:r>
    </w:p>
    <w:p w:rsidR="00CC0FC5" w:rsidRPr="00740D93" w:rsidRDefault="00CC0FC5" w:rsidP="00AA0F76">
      <w:pPr>
        <w:spacing w:line="240" w:lineRule="auto"/>
        <w:rPr>
          <w:lang w:eastAsia="zh-CN"/>
        </w:rPr>
      </w:pPr>
      <w:r w:rsidRPr="00740D93">
        <w:rPr>
          <w:lang w:eastAsia="zh-CN"/>
        </w:rPr>
        <w:t>Over the past decades, many methodologies and indicators have been proposed to assess sustainability issues in the chemical</w:t>
      </w:r>
      <w:r w:rsidR="002B4C0E" w:rsidRPr="00740D93">
        <w:rPr>
          <w:rFonts w:hint="eastAsia"/>
          <w:lang w:eastAsia="zh-CN"/>
        </w:rPr>
        <w:t xml:space="preserve"> and energy </w:t>
      </w:r>
      <w:r w:rsidR="002B4C0E" w:rsidRPr="00740D93">
        <w:rPr>
          <w:lang w:eastAsia="zh-CN"/>
        </w:rPr>
        <w:t>production</w:t>
      </w:r>
      <w:r w:rsidR="002B4C0E" w:rsidRPr="00740D93">
        <w:rPr>
          <w:rFonts w:hint="eastAsia"/>
          <w:lang w:eastAsia="zh-CN"/>
        </w:rPr>
        <w:t xml:space="preserve"> systems</w:t>
      </w:r>
      <w:r w:rsidRPr="00740D93">
        <w:rPr>
          <w:lang w:eastAsia="zh-CN"/>
        </w:rPr>
        <w:t xml:space="preserve">. However, a major challenge is to identify the bottleneck issues in order to improve its sustainability effectively. The multi-dimensional nature of sustainability requires a more comprehensive accounting for the impacts of various factors. The complicated cause-and-effect relationships require the capacity of conducting a systematic </w:t>
      </w:r>
      <w:r w:rsidRPr="00740D93">
        <w:rPr>
          <w:rFonts w:hint="eastAsia"/>
          <w:lang w:eastAsia="zh-CN"/>
        </w:rPr>
        <w:t xml:space="preserve">sustainability </w:t>
      </w:r>
      <w:r w:rsidRPr="00740D93">
        <w:rPr>
          <w:lang w:eastAsia="zh-CN"/>
        </w:rPr>
        <w:t>root cause analysis method (</w:t>
      </w:r>
      <w:r w:rsidRPr="00740D93">
        <w:rPr>
          <w:rFonts w:hint="eastAsia"/>
          <w:lang w:eastAsia="zh-CN"/>
        </w:rPr>
        <w:t>S</w:t>
      </w:r>
      <w:r w:rsidRPr="00740D93">
        <w:rPr>
          <w:lang w:eastAsia="zh-CN"/>
        </w:rPr>
        <w:t xml:space="preserve">RCA) to identify the </w:t>
      </w:r>
      <w:r w:rsidRPr="00740D93">
        <w:rPr>
          <w:rFonts w:hint="eastAsia"/>
          <w:lang w:eastAsia="zh-CN"/>
        </w:rPr>
        <w:t xml:space="preserve">key steps </w:t>
      </w:r>
      <w:r w:rsidRPr="00740D93">
        <w:rPr>
          <w:lang w:eastAsia="zh-CN"/>
        </w:rPr>
        <w:t xml:space="preserve">towards sustainability improvement.  </w:t>
      </w:r>
    </w:p>
    <w:p w:rsidR="003C2E7E" w:rsidRPr="00740D93" w:rsidRDefault="002B4C0E" w:rsidP="00AA0F76">
      <w:pPr>
        <w:spacing w:line="240" w:lineRule="auto"/>
      </w:pPr>
      <w:r w:rsidRPr="00740D93">
        <w:rPr>
          <w:lang w:eastAsia="zh-CN"/>
        </w:rPr>
        <w:t xml:space="preserve">The study and application of </w:t>
      </w:r>
      <w:r w:rsidRPr="00740D93">
        <w:rPr>
          <w:rFonts w:hint="eastAsia"/>
          <w:lang w:eastAsia="zh-CN"/>
        </w:rPr>
        <w:t xml:space="preserve">SRCA </w:t>
      </w:r>
      <w:r w:rsidRPr="00740D93">
        <w:rPr>
          <w:lang w:eastAsia="zh-CN"/>
        </w:rPr>
        <w:t>techniques in sustainable manufacturing will encourage students to develop critical thinking skills.</w:t>
      </w:r>
      <w:r w:rsidRPr="00740D93">
        <w:rPr>
          <w:rFonts w:hint="eastAsia"/>
          <w:lang w:eastAsia="zh-CN"/>
        </w:rPr>
        <w:t xml:space="preserve"> </w:t>
      </w:r>
      <w:r w:rsidR="003C2E7E" w:rsidRPr="00740D93">
        <w:t xml:space="preserve">This education module is suitable for teaching seniors and graduate students. In this section, the motivation of Sustainability Root Cause Analysis (SRCA) and the basic techniques are presented. Root cause analysis </w:t>
      </w:r>
      <w:r w:rsidR="001C437C" w:rsidRPr="00740D93">
        <w:rPr>
          <w:rFonts w:hint="eastAsia"/>
          <w:lang w:eastAsia="zh-CN"/>
        </w:rPr>
        <w:t xml:space="preserve">(RCA) </w:t>
      </w:r>
      <w:r w:rsidR="003C2E7E" w:rsidRPr="00740D93">
        <w:t>is originally a quality management concept. It is a powerful tool to pinpoint the obstacles to improvement. It is usually used in a reactive mode to determine the causes of problems which have already occurred. There are several tools that can be used to perform a root cause analysis, such as 5 Whys, the Pareto chart, and the Fish-bone diagram.</w:t>
      </w:r>
    </w:p>
    <w:p w:rsidR="00252D46" w:rsidRPr="00252D46" w:rsidRDefault="00252D46" w:rsidP="00AA0F76">
      <w:pPr>
        <w:spacing w:line="240" w:lineRule="auto"/>
        <w:rPr>
          <w:b/>
          <w:sz w:val="24"/>
        </w:rPr>
      </w:pPr>
      <w:r w:rsidRPr="00252D46">
        <w:rPr>
          <w:b/>
          <w:sz w:val="24"/>
        </w:rPr>
        <w:t>Rationale</w:t>
      </w:r>
      <w:r w:rsidR="003C1D32">
        <w:rPr>
          <w:b/>
          <w:sz w:val="24"/>
        </w:rPr>
        <w:t xml:space="preserve">: </w:t>
      </w:r>
      <w:r w:rsidR="003C2E7E">
        <w:rPr>
          <w:b/>
          <w:sz w:val="24"/>
        </w:rPr>
        <w:t>Sustainability Root Cause Analysis</w:t>
      </w:r>
      <w:r w:rsidRPr="00252D46">
        <w:rPr>
          <w:b/>
          <w:sz w:val="24"/>
        </w:rPr>
        <w:t xml:space="preserve"> for </w:t>
      </w:r>
      <w:r w:rsidR="009F1C6C">
        <w:rPr>
          <w:b/>
          <w:sz w:val="24"/>
        </w:rPr>
        <w:t xml:space="preserve">ensuring </w:t>
      </w:r>
      <w:r w:rsidRPr="00252D46">
        <w:rPr>
          <w:b/>
          <w:sz w:val="24"/>
        </w:rPr>
        <w:t>Sustainable Engineering</w:t>
      </w:r>
    </w:p>
    <w:p w:rsidR="003C2E7E" w:rsidRPr="00740D93" w:rsidRDefault="003C2E7E" w:rsidP="00AA0F76">
      <w:pPr>
        <w:spacing w:line="240" w:lineRule="auto"/>
      </w:pPr>
      <w:r w:rsidRPr="00740D93">
        <w:t xml:space="preserve">Due to the sophistication of processes, the fundamental causes leading to an inadequate sustainability performance may not be immediately apparent. The sustainability root cause analysis </w:t>
      </w:r>
      <w:r w:rsidR="00737623" w:rsidRPr="00740D93">
        <w:rPr>
          <w:rFonts w:hint="eastAsia"/>
          <w:lang w:eastAsia="zh-CN"/>
        </w:rPr>
        <w:t xml:space="preserve">(SCRA) </w:t>
      </w:r>
      <w:r w:rsidRPr="00740D93">
        <w:t xml:space="preserve">method described here can be used for chemical and energy production systems. </w:t>
      </w:r>
      <w:r w:rsidR="00626841" w:rsidRPr="00740D93">
        <w:rPr>
          <w:rFonts w:hint="eastAsia"/>
          <w:lang w:eastAsia="zh-CN"/>
        </w:rPr>
        <w:t>Stemmed from RCA, t</w:t>
      </w:r>
      <w:r w:rsidR="00626841" w:rsidRPr="00740D93">
        <w:t xml:space="preserve">he </w:t>
      </w:r>
      <w:r w:rsidR="00626841" w:rsidRPr="00740D93">
        <w:rPr>
          <w:rFonts w:hint="eastAsia"/>
          <w:lang w:eastAsia="zh-CN"/>
        </w:rPr>
        <w:t>S</w:t>
      </w:r>
      <w:r w:rsidR="00626841" w:rsidRPr="00740D93">
        <w:t xml:space="preserve">RCA framework is built on the combination of Pareto chart and the Fishbone diagram, in conjunction with a set of sustainability metrics for conducting comprehensive sustainability assessment on complex chemical and energy production systems along each dimension of sustainability. </w:t>
      </w:r>
      <w:r w:rsidR="00626841" w:rsidRPr="00740D93">
        <w:rPr>
          <w:rFonts w:hint="eastAsia"/>
          <w:lang w:eastAsia="zh-CN"/>
        </w:rPr>
        <w:t xml:space="preserve"> </w:t>
      </w:r>
    </w:p>
    <w:p w:rsidR="003C1D32" w:rsidRPr="00252D46" w:rsidRDefault="003C1D32" w:rsidP="00AA0F76">
      <w:pPr>
        <w:spacing w:line="240" w:lineRule="auto"/>
        <w:rPr>
          <w:b/>
          <w:sz w:val="24"/>
        </w:rPr>
      </w:pPr>
      <w:r>
        <w:rPr>
          <w:b/>
          <w:sz w:val="24"/>
        </w:rPr>
        <w:t xml:space="preserve">Course Content: </w:t>
      </w:r>
      <w:r w:rsidR="00651027">
        <w:rPr>
          <w:b/>
          <w:sz w:val="24"/>
        </w:rPr>
        <w:t>Sustainability Root Cause Analysis Methods</w:t>
      </w:r>
      <w:r w:rsidR="00F12447">
        <w:rPr>
          <w:b/>
          <w:sz w:val="24"/>
        </w:rPr>
        <w:t xml:space="preserve"> and Applications</w:t>
      </w:r>
    </w:p>
    <w:p w:rsidR="00763587" w:rsidRPr="00740D93" w:rsidRDefault="00763587" w:rsidP="00AA0F76">
      <w:pPr>
        <w:pStyle w:val="Default"/>
        <w:spacing w:after="152"/>
        <w:rPr>
          <w:rFonts w:asciiTheme="minorHAnsi" w:hAnsiTheme="minorHAnsi"/>
          <w:bCs/>
          <w:sz w:val="22"/>
          <w:szCs w:val="22"/>
          <w:lang w:eastAsia="zh-CN"/>
        </w:rPr>
      </w:pPr>
      <w:r w:rsidRPr="00740D93">
        <w:rPr>
          <w:rFonts w:asciiTheme="minorHAnsi" w:hAnsiTheme="minorHAnsi"/>
          <w:sz w:val="22"/>
          <w:szCs w:val="22"/>
        </w:rPr>
        <w:t xml:space="preserve">The </w:t>
      </w:r>
      <w:r w:rsidRPr="00740D93">
        <w:rPr>
          <w:rFonts w:asciiTheme="minorHAnsi" w:hAnsiTheme="minorHAnsi"/>
          <w:sz w:val="22"/>
          <w:szCs w:val="22"/>
          <w:lang w:eastAsia="zh-CN"/>
        </w:rPr>
        <w:t xml:space="preserve">sustainability </w:t>
      </w:r>
      <w:r w:rsidRPr="00740D93">
        <w:rPr>
          <w:rFonts w:asciiTheme="minorHAnsi" w:hAnsiTheme="minorHAnsi"/>
          <w:sz w:val="22"/>
          <w:szCs w:val="22"/>
        </w:rPr>
        <w:t xml:space="preserve">root cause analysis framework consists of the Pareto </w:t>
      </w:r>
      <w:r w:rsidR="005B1041" w:rsidRPr="00740D93">
        <w:rPr>
          <w:rFonts w:asciiTheme="minorHAnsi" w:hAnsiTheme="minorHAnsi"/>
          <w:sz w:val="22"/>
          <w:szCs w:val="22"/>
          <w:lang w:eastAsia="zh-CN"/>
        </w:rPr>
        <w:t xml:space="preserve">analysis </w:t>
      </w:r>
      <w:r w:rsidRPr="00740D93">
        <w:rPr>
          <w:rFonts w:asciiTheme="minorHAnsi" w:hAnsiTheme="minorHAnsi"/>
          <w:sz w:val="22"/>
          <w:szCs w:val="22"/>
        </w:rPr>
        <w:t>and the Fish-bone diagram, along with a set of sustainability metrics. Due to the multi-dimensional nature of sustainability, a good root cause analysis method depends on an appropriate sustainability assessment system. A comprehensive sustainability assessment must consider each dimension of sustainability methodically.</w:t>
      </w:r>
      <w:r w:rsidR="005B1041" w:rsidRPr="00740D93">
        <w:rPr>
          <w:rFonts w:asciiTheme="minorHAnsi" w:hAnsiTheme="minorHAnsi"/>
          <w:sz w:val="22"/>
          <w:szCs w:val="22"/>
          <w:lang w:eastAsia="zh-CN"/>
        </w:rPr>
        <w:t xml:space="preserve"> In the following sections, the Pareto analysis method, </w:t>
      </w:r>
      <w:r w:rsidR="00387E5B" w:rsidRPr="00740D93">
        <w:rPr>
          <w:rFonts w:asciiTheme="minorHAnsi" w:hAnsiTheme="minorHAnsi"/>
          <w:sz w:val="22"/>
          <w:szCs w:val="22"/>
          <w:lang w:eastAsia="zh-CN"/>
        </w:rPr>
        <w:t>fish bone diagram and sustainability assessment methodologies are</w:t>
      </w:r>
      <w:r w:rsidR="00F43318" w:rsidRPr="00740D93">
        <w:rPr>
          <w:rFonts w:asciiTheme="minorHAnsi" w:hAnsiTheme="minorHAnsi"/>
          <w:sz w:val="22"/>
          <w:szCs w:val="22"/>
          <w:lang w:eastAsia="zh-CN"/>
        </w:rPr>
        <w:t xml:space="preserve"> introduced respectively</w:t>
      </w:r>
      <w:r w:rsidR="00387E5B" w:rsidRPr="00740D93">
        <w:rPr>
          <w:rFonts w:asciiTheme="minorHAnsi" w:hAnsiTheme="minorHAnsi"/>
          <w:sz w:val="22"/>
          <w:szCs w:val="22"/>
          <w:lang w:eastAsia="zh-CN"/>
        </w:rPr>
        <w:t>.</w:t>
      </w:r>
    </w:p>
    <w:p w:rsidR="00651027" w:rsidRPr="00651027" w:rsidRDefault="00651027" w:rsidP="00651027">
      <w:pPr>
        <w:pStyle w:val="Default"/>
        <w:spacing w:after="152"/>
        <w:rPr>
          <w:rFonts w:asciiTheme="minorHAnsi" w:hAnsiTheme="minorHAnsi"/>
          <w:i/>
        </w:rPr>
      </w:pPr>
      <w:r w:rsidRPr="00651027">
        <w:rPr>
          <w:rFonts w:asciiTheme="minorHAnsi" w:hAnsiTheme="minorHAnsi"/>
          <w:bCs/>
          <w:i/>
        </w:rPr>
        <w:t xml:space="preserve">The Pareto Analysis </w:t>
      </w:r>
    </w:p>
    <w:p w:rsidR="00651027" w:rsidRPr="00740D93" w:rsidRDefault="00651027" w:rsidP="00651027">
      <w:pPr>
        <w:pStyle w:val="Default"/>
        <w:spacing w:after="200"/>
        <w:ind w:firstLine="720"/>
        <w:rPr>
          <w:rFonts w:asciiTheme="minorHAnsi" w:hAnsiTheme="minorHAnsi"/>
          <w:sz w:val="22"/>
          <w:szCs w:val="22"/>
        </w:rPr>
      </w:pPr>
      <w:r w:rsidRPr="00740D93">
        <w:rPr>
          <w:rFonts w:asciiTheme="minorHAnsi" w:hAnsiTheme="minorHAnsi"/>
          <w:sz w:val="22"/>
          <w:szCs w:val="22"/>
        </w:rPr>
        <w:t xml:space="preserve">The Pareto analysis, also known as the 80-20 rule, is named after Vilfredo Pareto, an Italian economist. According to its principle, for most events, roughly 80% of the effects / </w:t>
      </w:r>
      <w:r w:rsidRPr="00651027">
        <w:rPr>
          <w:rFonts w:asciiTheme="minorHAnsi" w:hAnsiTheme="minorHAnsi"/>
        </w:rPr>
        <w:t xml:space="preserve">problems come </w:t>
      </w:r>
      <w:r w:rsidRPr="00740D93">
        <w:rPr>
          <w:rFonts w:asciiTheme="minorHAnsi" w:hAnsiTheme="minorHAnsi"/>
          <w:sz w:val="22"/>
          <w:szCs w:val="22"/>
        </w:rPr>
        <w:t xml:space="preserve">from 20% of causes. The Pareto analysis helps focus the attention on the most important causes and avoids the wastage of time and energy on minor causes. </w:t>
      </w:r>
    </w:p>
    <w:p w:rsidR="00651027" w:rsidRPr="00740D93" w:rsidRDefault="00651027" w:rsidP="00651027">
      <w:pPr>
        <w:pStyle w:val="Default"/>
        <w:jc w:val="both"/>
        <w:rPr>
          <w:rFonts w:asciiTheme="minorHAnsi" w:hAnsiTheme="minorHAnsi"/>
          <w:sz w:val="22"/>
          <w:szCs w:val="22"/>
        </w:rPr>
      </w:pPr>
      <w:r w:rsidRPr="00740D93">
        <w:rPr>
          <w:rFonts w:asciiTheme="minorHAnsi" w:hAnsiTheme="minorHAnsi"/>
          <w:sz w:val="22"/>
          <w:szCs w:val="22"/>
        </w:rPr>
        <w:t xml:space="preserve">A combination of a line and bar chart is produced to identify the top 20% of problems. The procedure to prepare the chart is outlined below: </w:t>
      </w:r>
    </w:p>
    <w:p w:rsidR="00651027" w:rsidRPr="00740D93" w:rsidRDefault="00651027" w:rsidP="00651027">
      <w:pPr>
        <w:pStyle w:val="Default"/>
        <w:jc w:val="both"/>
        <w:rPr>
          <w:rFonts w:asciiTheme="minorHAnsi" w:hAnsiTheme="minorHAnsi"/>
          <w:sz w:val="22"/>
          <w:szCs w:val="22"/>
        </w:rPr>
      </w:pPr>
      <w:r w:rsidRPr="00740D93">
        <w:rPr>
          <w:rFonts w:asciiTheme="minorHAnsi" w:hAnsiTheme="minorHAnsi"/>
          <w:sz w:val="22"/>
          <w:szCs w:val="22"/>
        </w:rPr>
        <w:lastRenderedPageBreak/>
        <w:t xml:space="preserve">(a) The first step is to prepare a table showing all causes with their impacts in percentage. An example is provided below. </w:t>
      </w:r>
    </w:p>
    <w:p w:rsidR="00651027" w:rsidRPr="00740D93" w:rsidRDefault="00651027" w:rsidP="00651027">
      <w:r w:rsidRPr="00740D93">
        <w:t>Table 1. The Starting Table for Pareto Analysis</w:t>
      </w:r>
    </w:p>
    <w:tbl>
      <w:tblPr>
        <w:tblStyle w:val="LightList"/>
        <w:tblW w:w="0" w:type="auto"/>
        <w:jc w:val="center"/>
        <w:tblLook w:val="04A0" w:firstRow="1" w:lastRow="0" w:firstColumn="1" w:lastColumn="0" w:noHBand="0" w:noVBand="1"/>
      </w:tblPr>
      <w:tblGrid>
        <w:gridCol w:w="1278"/>
        <w:gridCol w:w="2382"/>
      </w:tblGrid>
      <w:tr w:rsidR="00651027" w:rsidRPr="00740D93" w:rsidTr="005E239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8" w:type="dxa"/>
            <w:tcBorders>
              <w:bottom w:val="single" w:sz="8" w:space="0" w:color="000000" w:themeColor="text1"/>
            </w:tcBorders>
          </w:tcPr>
          <w:p w:rsidR="00651027" w:rsidRPr="00740D93" w:rsidRDefault="00651027" w:rsidP="00651027">
            <w:r w:rsidRPr="00740D93">
              <w:t>Causes</w:t>
            </w:r>
          </w:p>
        </w:tc>
        <w:tc>
          <w:tcPr>
            <w:tcW w:w="2382" w:type="dxa"/>
            <w:tcBorders>
              <w:bottom w:val="single" w:sz="8" w:space="0" w:color="000000" w:themeColor="text1"/>
            </w:tcBorders>
          </w:tcPr>
          <w:p w:rsidR="00651027" w:rsidRPr="00740D93" w:rsidRDefault="00651027" w:rsidP="00651027">
            <w:pPr>
              <w:cnfStyle w:val="100000000000" w:firstRow="1" w:lastRow="0" w:firstColumn="0" w:lastColumn="0" w:oddVBand="0" w:evenVBand="0" w:oddHBand="0" w:evenHBand="0" w:firstRowFirstColumn="0" w:firstRowLastColumn="0" w:lastRowFirstColumn="0" w:lastRowLastColumn="0"/>
            </w:pPr>
            <w:r w:rsidRPr="00740D93">
              <w:t>Percentage Impact (%)</w:t>
            </w:r>
          </w:p>
        </w:tc>
      </w:tr>
      <w:tr w:rsidR="00651027" w:rsidRPr="00740D93" w:rsidTr="005E239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8" w:type="dxa"/>
            <w:tcBorders>
              <w:left w:val="nil"/>
              <w:bottom w:val="dotted" w:sz="4" w:space="0" w:color="auto"/>
            </w:tcBorders>
          </w:tcPr>
          <w:p w:rsidR="00651027" w:rsidRPr="00740D93" w:rsidRDefault="00651027" w:rsidP="00651027">
            <w:pPr>
              <w:rPr>
                <w:b w:val="0"/>
              </w:rPr>
            </w:pPr>
            <w:r w:rsidRPr="00740D93">
              <w:rPr>
                <w:b w:val="0"/>
              </w:rPr>
              <w:t>Cause 1</w:t>
            </w:r>
          </w:p>
        </w:tc>
        <w:tc>
          <w:tcPr>
            <w:tcW w:w="2382" w:type="dxa"/>
            <w:tcBorders>
              <w:bottom w:val="dotted" w:sz="4" w:space="0" w:color="auto"/>
              <w:right w:val="nil"/>
            </w:tcBorders>
          </w:tcPr>
          <w:p w:rsidR="00651027" w:rsidRPr="00740D93" w:rsidRDefault="00651027" w:rsidP="00651027">
            <w:pPr>
              <w:jc w:val="right"/>
              <w:cnfStyle w:val="000000100000" w:firstRow="0" w:lastRow="0" w:firstColumn="0" w:lastColumn="0" w:oddVBand="0" w:evenVBand="0" w:oddHBand="1" w:evenHBand="0" w:firstRowFirstColumn="0" w:firstRowLastColumn="0" w:lastRowFirstColumn="0" w:lastRowLastColumn="0"/>
            </w:pPr>
            <w:r w:rsidRPr="00740D93">
              <w:t>20</w:t>
            </w:r>
          </w:p>
        </w:tc>
      </w:tr>
      <w:tr w:rsidR="00651027" w:rsidRPr="00740D93" w:rsidTr="005E2391">
        <w:trPr>
          <w:jc w:val="center"/>
        </w:trPr>
        <w:tc>
          <w:tcPr>
            <w:cnfStyle w:val="001000000000" w:firstRow="0" w:lastRow="0" w:firstColumn="1" w:lastColumn="0" w:oddVBand="0" w:evenVBand="0" w:oddHBand="0" w:evenHBand="0" w:firstRowFirstColumn="0" w:firstRowLastColumn="0" w:lastRowFirstColumn="0" w:lastRowLastColumn="0"/>
            <w:tcW w:w="1278" w:type="dxa"/>
            <w:tcBorders>
              <w:top w:val="dotted" w:sz="4" w:space="0" w:color="auto"/>
              <w:left w:val="nil"/>
              <w:bottom w:val="dotted" w:sz="4" w:space="0" w:color="auto"/>
            </w:tcBorders>
          </w:tcPr>
          <w:p w:rsidR="00651027" w:rsidRPr="00740D93" w:rsidRDefault="00651027" w:rsidP="00651027">
            <w:pPr>
              <w:rPr>
                <w:b w:val="0"/>
              </w:rPr>
            </w:pPr>
            <w:r w:rsidRPr="00740D93">
              <w:rPr>
                <w:b w:val="0"/>
              </w:rPr>
              <w:t>Cause 2</w:t>
            </w:r>
          </w:p>
        </w:tc>
        <w:tc>
          <w:tcPr>
            <w:tcW w:w="2382" w:type="dxa"/>
            <w:tcBorders>
              <w:top w:val="dotted" w:sz="4" w:space="0" w:color="auto"/>
              <w:bottom w:val="dotted" w:sz="4" w:space="0" w:color="auto"/>
              <w:right w:val="nil"/>
            </w:tcBorders>
          </w:tcPr>
          <w:p w:rsidR="00651027" w:rsidRPr="00740D93" w:rsidRDefault="00651027" w:rsidP="00651027">
            <w:pPr>
              <w:jc w:val="right"/>
              <w:cnfStyle w:val="000000000000" w:firstRow="0" w:lastRow="0" w:firstColumn="0" w:lastColumn="0" w:oddVBand="0" w:evenVBand="0" w:oddHBand="0" w:evenHBand="0" w:firstRowFirstColumn="0" w:firstRowLastColumn="0" w:lastRowFirstColumn="0" w:lastRowLastColumn="0"/>
            </w:pPr>
            <w:r w:rsidRPr="00740D93">
              <w:t>15</w:t>
            </w:r>
          </w:p>
        </w:tc>
      </w:tr>
      <w:tr w:rsidR="00651027" w:rsidRPr="00740D93" w:rsidTr="005E239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8" w:type="dxa"/>
            <w:tcBorders>
              <w:top w:val="dotted" w:sz="4" w:space="0" w:color="auto"/>
              <w:left w:val="nil"/>
              <w:bottom w:val="dotted" w:sz="4" w:space="0" w:color="auto"/>
            </w:tcBorders>
          </w:tcPr>
          <w:p w:rsidR="00651027" w:rsidRPr="00740D93" w:rsidRDefault="00651027" w:rsidP="00651027">
            <w:pPr>
              <w:rPr>
                <w:b w:val="0"/>
              </w:rPr>
            </w:pPr>
            <w:r w:rsidRPr="00740D93">
              <w:rPr>
                <w:b w:val="0"/>
              </w:rPr>
              <w:t>Cause 3</w:t>
            </w:r>
          </w:p>
        </w:tc>
        <w:tc>
          <w:tcPr>
            <w:tcW w:w="2382" w:type="dxa"/>
            <w:tcBorders>
              <w:top w:val="dotted" w:sz="4" w:space="0" w:color="auto"/>
              <w:bottom w:val="dotted" w:sz="4" w:space="0" w:color="auto"/>
              <w:right w:val="nil"/>
            </w:tcBorders>
          </w:tcPr>
          <w:p w:rsidR="00651027" w:rsidRPr="00740D93" w:rsidRDefault="00651027" w:rsidP="00651027">
            <w:pPr>
              <w:jc w:val="right"/>
              <w:cnfStyle w:val="000000100000" w:firstRow="0" w:lastRow="0" w:firstColumn="0" w:lastColumn="0" w:oddVBand="0" w:evenVBand="0" w:oddHBand="1" w:evenHBand="0" w:firstRowFirstColumn="0" w:firstRowLastColumn="0" w:lastRowFirstColumn="0" w:lastRowLastColumn="0"/>
            </w:pPr>
            <w:r w:rsidRPr="00740D93">
              <w:t>25</w:t>
            </w:r>
          </w:p>
        </w:tc>
      </w:tr>
      <w:tr w:rsidR="00651027" w:rsidRPr="00740D93" w:rsidTr="005E2391">
        <w:trPr>
          <w:jc w:val="center"/>
        </w:trPr>
        <w:tc>
          <w:tcPr>
            <w:cnfStyle w:val="001000000000" w:firstRow="0" w:lastRow="0" w:firstColumn="1" w:lastColumn="0" w:oddVBand="0" w:evenVBand="0" w:oddHBand="0" w:evenHBand="0" w:firstRowFirstColumn="0" w:firstRowLastColumn="0" w:lastRowFirstColumn="0" w:lastRowLastColumn="0"/>
            <w:tcW w:w="1278" w:type="dxa"/>
            <w:tcBorders>
              <w:top w:val="dotted" w:sz="4" w:space="0" w:color="auto"/>
              <w:left w:val="nil"/>
              <w:bottom w:val="dotted" w:sz="4" w:space="0" w:color="auto"/>
            </w:tcBorders>
          </w:tcPr>
          <w:p w:rsidR="00651027" w:rsidRPr="00740D93" w:rsidRDefault="00651027" w:rsidP="00651027">
            <w:pPr>
              <w:rPr>
                <w:b w:val="0"/>
              </w:rPr>
            </w:pPr>
            <w:r w:rsidRPr="00740D93">
              <w:rPr>
                <w:b w:val="0"/>
              </w:rPr>
              <w:t>Cause 4</w:t>
            </w:r>
          </w:p>
        </w:tc>
        <w:tc>
          <w:tcPr>
            <w:tcW w:w="2382" w:type="dxa"/>
            <w:tcBorders>
              <w:top w:val="dotted" w:sz="4" w:space="0" w:color="auto"/>
              <w:bottom w:val="dotted" w:sz="4" w:space="0" w:color="auto"/>
              <w:right w:val="nil"/>
            </w:tcBorders>
          </w:tcPr>
          <w:p w:rsidR="00651027" w:rsidRPr="00740D93" w:rsidRDefault="00651027" w:rsidP="00651027">
            <w:pPr>
              <w:jc w:val="right"/>
              <w:cnfStyle w:val="000000000000" w:firstRow="0" w:lastRow="0" w:firstColumn="0" w:lastColumn="0" w:oddVBand="0" w:evenVBand="0" w:oddHBand="0" w:evenHBand="0" w:firstRowFirstColumn="0" w:firstRowLastColumn="0" w:lastRowFirstColumn="0" w:lastRowLastColumn="0"/>
            </w:pPr>
            <w:r w:rsidRPr="00740D93">
              <w:t>30</w:t>
            </w:r>
          </w:p>
        </w:tc>
      </w:tr>
      <w:tr w:rsidR="00651027" w:rsidRPr="00740D93" w:rsidTr="005E239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8" w:type="dxa"/>
            <w:tcBorders>
              <w:top w:val="dotted" w:sz="4" w:space="0" w:color="auto"/>
              <w:left w:val="nil"/>
            </w:tcBorders>
          </w:tcPr>
          <w:p w:rsidR="00651027" w:rsidRPr="00740D93" w:rsidRDefault="00651027" w:rsidP="00651027">
            <w:pPr>
              <w:rPr>
                <w:b w:val="0"/>
              </w:rPr>
            </w:pPr>
            <w:r w:rsidRPr="00740D93">
              <w:rPr>
                <w:b w:val="0"/>
              </w:rPr>
              <w:t>Cause 5</w:t>
            </w:r>
          </w:p>
        </w:tc>
        <w:tc>
          <w:tcPr>
            <w:tcW w:w="2382" w:type="dxa"/>
            <w:tcBorders>
              <w:top w:val="dotted" w:sz="4" w:space="0" w:color="auto"/>
              <w:right w:val="nil"/>
            </w:tcBorders>
          </w:tcPr>
          <w:p w:rsidR="00651027" w:rsidRPr="00740D93" w:rsidRDefault="00651027" w:rsidP="00651027">
            <w:pPr>
              <w:jc w:val="right"/>
              <w:cnfStyle w:val="000000100000" w:firstRow="0" w:lastRow="0" w:firstColumn="0" w:lastColumn="0" w:oddVBand="0" w:evenVBand="0" w:oddHBand="1" w:evenHBand="0" w:firstRowFirstColumn="0" w:firstRowLastColumn="0" w:lastRowFirstColumn="0" w:lastRowLastColumn="0"/>
            </w:pPr>
            <w:r w:rsidRPr="00740D93">
              <w:t>10</w:t>
            </w:r>
          </w:p>
        </w:tc>
      </w:tr>
    </w:tbl>
    <w:p w:rsidR="00651027" w:rsidRPr="00740D93" w:rsidRDefault="00651027" w:rsidP="00651027">
      <w:pPr>
        <w:pStyle w:val="Default"/>
        <w:jc w:val="both"/>
        <w:rPr>
          <w:rFonts w:asciiTheme="minorHAnsi" w:hAnsiTheme="minorHAnsi"/>
          <w:sz w:val="22"/>
          <w:szCs w:val="22"/>
        </w:rPr>
      </w:pPr>
    </w:p>
    <w:p w:rsidR="00651027" w:rsidRPr="00740D93" w:rsidRDefault="00651027" w:rsidP="00651027">
      <w:pPr>
        <w:pStyle w:val="Default"/>
        <w:jc w:val="both"/>
        <w:rPr>
          <w:rFonts w:asciiTheme="minorHAnsi" w:hAnsiTheme="minorHAnsi"/>
          <w:sz w:val="22"/>
          <w:szCs w:val="22"/>
        </w:rPr>
      </w:pPr>
      <w:r w:rsidRPr="00740D93">
        <w:rPr>
          <w:rFonts w:asciiTheme="minorHAnsi" w:hAnsiTheme="minorHAnsi"/>
          <w:sz w:val="22"/>
          <w:szCs w:val="22"/>
        </w:rPr>
        <w:t xml:space="preserve">(b) The table is then sorted in descending order by percentage. </w:t>
      </w:r>
    </w:p>
    <w:p w:rsidR="00651027" w:rsidRPr="00740D93" w:rsidRDefault="00651027" w:rsidP="00651027">
      <w:r w:rsidRPr="00740D93">
        <w:t>(c) As shown below, a third column is added to show cumulative percentage.</w:t>
      </w:r>
    </w:p>
    <w:p w:rsidR="00E46B3A" w:rsidRPr="00740D93" w:rsidRDefault="00E46B3A" w:rsidP="00E221C9">
      <w:pPr>
        <w:spacing w:after="0"/>
      </w:pPr>
      <w:r w:rsidRPr="00740D93">
        <w:t>Table 2. A Completed Table for Pareto Analysis</w:t>
      </w:r>
    </w:p>
    <w:tbl>
      <w:tblPr>
        <w:tblStyle w:val="TableGrid"/>
        <w:tblW w:w="0" w:type="auto"/>
        <w:jc w:val="center"/>
        <w:tblBorders>
          <w:left w:val="none" w:sz="0" w:space="0" w:color="auto"/>
          <w:right w:val="none" w:sz="0" w:space="0" w:color="auto"/>
          <w:insideH w:val="dotted" w:sz="4" w:space="0" w:color="auto"/>
          <w:insideV w:val="none" w:sz="0" w:space="0" w:color="auto"/>
        </w:tblBorders>
        <w:tblLayout w:type="fixed"/>
        <w:tblLook w:val="0000" w:firstRow="0" w:lastRow="0" w:firstColumn="0" w:lastColumn="0" w:noHBand="0" w:noVBand="0"/>
      </w:tblPr>
      <w:tblGrid>
        <w:gridCol w:w="1278"/>
        <w:gridCol w:w="2430"/>
        <w:gridCol w:w="2790"/>
      </w:tblGrid>
      <w:tr w:rsidR="00E46B3A" w:rsidRPr="00740D93" w:rsidTr="005E2391">
        <w:trPr>
          <w:trHeight w:val="274"/>
          <w:jc w:val="center"/>
        </w:trPr>
        <w:tc>
          <w:tcPr>
            <w:tcW w:w="1278" w:type="dxa"/>
            <w:shd w:val="clear" w:color="auto" w:fill="000000" w:themeFill="text1"/>
          </w:tcPr>
          <w:p w:rsidR="00E46B3A" w:rsidRPr="00740D93" w:rsidRDefault="00E46B3A" w:rsidP="004E3393">
            <w:pPr>
              <w:autoSpaceDE w:val="0"/>
              <w:autoSpaceDN w:val="0"/>
              <w:adjustRightInd w:val="0"/>
              <w:rPr>
                <w:rFonts w:cs="Times New Roman"/>
                <w:color w:val="FFFFFF" w:themeColor="background1"/>
              </w:rPr>
            </w:pPr>
            <w:r w:rsidRPr="00740D93">
              <w:rPr>
                <w:rFonts w:cs="Times New Roman"/>
                <w:b/>
                <w:bCs/>
                <w:color w:val="FFFFFF" w:themeColor="background1"/>
              </w:rPr>
              <w:t xml:space="preserve">Causes </w:t>
            </w:r>
          </w:p>
        </w:tc>
        <w:tc>
          <w:tcPr>
            <w:tcW w:w="2430" w:type="dxa"/>
            <w:shd w:val="clear" w:color="auto" w:fill="000000" w:themeFill="text1"/>
          </w:tcPr>
          <w:p w:rsidR="00E46B3A" w:rsidRPr="00740D93" w:rsidRDefault="00E46B3A" w:rsidP="004E3393">
            <w:pPr>
              <w:autoSpaceDE w:val="0"/>
              <w:autoSpaceDN w:val="0"/>
              <w:adjustRightInd w:val="0"/>
              <w:rPr>
                <w:rFonts w:cs="Times New Roman"/>
                <w:color w:val="FFFFFF" w:themeColor="background1"/>
              </w:rPr>
            </w:pPr>
            <w:r w:rsidRPr="00740D93">
              <w:rPr>
                <w:rFonts w:cs="Times New Roman"/>
                <w:b/>
                <w:bCs/>
                <w:color w:val="FFFFFF" w:themeColor="background1"/>
              </w:rPr>
              <w:t xml:space="preserve">Percentage Impact (%) </w:t>
            </w:r>
          </w:p>
        </w:tc>
        <w:tc>
          <w:tcPr>
            <w:tcW w:w="2790" w:type="dxa"/>
            <w:shd w:val="clear" w:color="auto" w:fill="000000" w:themeFill="text1"/>
          </w:tcPr>
          <w:p w:rsidR="00E46B3A" w:rsidRPr="00740D93" w:rsidRDefault="00E46B3A" w:rsidP="004E3393">
            <w:pPr>
              <w:autoSpaceDE w:val="0"/>
              <w:autoSpaceDN w:val="0"/>
              <w:adjustRightInd w:val="0"/>
              <w:rPr>
                <w:rFonts w:cs="Times New Roman"/>
                <w:color w:val="FFFFFF" w:themeColor="background1"/>
              </w:rPr>
            </w:pPr>
            <w:r w:rsidRPr="00740D93">
              <w:rPr>
                <w:rFonts w:cs="Times New Roman"/>
                <w:b/>
                <w:bCs/>
                <w:color w:val="FFFFFF" w:themeColor="background1"/>
              </w:rPr>
              <w:t xml:space="preserve">Cumulative Percentage (%) </w:t>
            </w:r>
          </w:p>
        </w:tc>
      </w:tr>
      <w:tr w:rsidR="004E3393" w:rsidRPr="00740D93" w:rsidTr="005E2391">
        <w:trPr>
          <w:trHeight w:val="145"/>
          <w:jc w:val="center"/>
        </w:trPr>
        <w:tc>
          <w:tcPr>
            <w:tcW w:w="1278" w:type="dxa"/>
          </w:tcPr>
          <w:p w:rsidR="00E46B3A" w:rsidRPr="00740D93" w:rsidRDefault="00E46B3A" w:rsidP="004E3393">
            <w:pPr>
              <w:autoSpaceDE w:val="0"/>
              <w:autoSpaceDN w:val="0"/>
              <w:adjustRightInd w:val="0"/>
              <w:rPr>
                <w:rFonts w:cs="Times New Roman"/>
                <w:color w:val="000000"/>
              </w:rPr>
            </w:pPr>
            <w:r w:rsidRPr="00740D93">
              <w:rPr>
                <w:rFonts w:cs="Times New Roman"/>
                <w:color w:val="000000"/>
              </w:rPr>
              <w:t xml:space="preserve">Cause 4 </w:t>
            </w:r>
          </w:p>
        </w:tc>
        <w:tc>
          <w:tcPr>
            <w:tcW w:w="2430" w:type="dxa"/>
          </w:tcPr>
          <w:p w:rsidR="00E46B3A" w:rsidRPr="00740D93" w:rsidRDefault="00E46B3A" w:rsidP="00E46B3A">
            <w:pPr>
              <w:autoSpaceDE w:val="0"/>
              <w:autoSpaceDN w:val="0"/>
              <w:adjustRightInd w:val="0"/>
              <w:jc w:val="right"/>
              <w:rPr>
                <w:rFonts w:cs="Times New Roman"/>
                <w:color w:val="000000"/>
              </w:rPr>
            </w:pPr>
            <w:r w:rsidRPr="00740D93">
              <w:rPr>
                <w:rFonts w:cs="Times New Roman"/>
                <w:color w:val="000000"/>
              </w:rPr>
              <w:t xml:space="preserve">30 </w:t>
            </w:r>
          </w:p>
        </w:tc>
        <w:tc>
          <w:tcPr>
            <w:tcW w:w="2790" w:type="dxa"/>
          </w:tcPr>
          <w:p w:rsidR="00E46B3A" w:rsidRPr="00740D93" w:rsidRDefault="00E46B3A" w:rsidP="00E46B3A">
            <w:pPr>
              <w:autoSpaceDE w:val="0"/>
              <w:autoSpaceDN w:val="0"/>
              <w:adjustRightInd w:val="0"/>
              <w:jc w:val="right"/>
              <w:rPr>
                <w:rFonts w:cs="Times New Roman"/>
                <w:color w:val="000000"/>
              </w:rPr>
            </w:pPr>
            <w:r w:rsidRPr="00740D93">
              <w:rPr>
                <w:rFonts w:cs="Times New Roman"/>
                <w:color w:val="000000"/>
              </w:rPr>
              <w:t xml:space="preserve">30 </w:t>
            </w:r>
          </w:p>
        </w:tc>
      </w:tr>
      <w:tr w:rsidR="004E3393" w:rsidRPr="00740D93" w:rsidTr="005E2391">
        <w:trPr>
          <w:trHeight w:val="145"/>
          <w:jc w:val="center"/>
        </w:trPr>
        <w:tc>
          <w:tcPr>
            <w:tcW w:w="1278" w:type="dxa"/>
          </w:tcPr>
          <w:p w:rsidR="00E46B3A" w:rsidRPr="00740D93" w:rsidRDefault="00E46B3A" w:rsidP="004E3393">
            <w:pPr>
              <w:autoSpaceDE w:val="0"/>
              <w:autoSpaceDN w:val="0"/>
              <w:adjustRightInd w:val="0"/>
              <w:rPr>
                <w:rFonts w:cs="Times New Roman"/>
                <w:color w:val="000000"/>
              </w:rPr>
            </w:pPr>
            <w:r w:rsidRPr="00740D93">
              <w:rPr>
                <w:rFonts w:cs="Times New Roman"/>
                <w:color w:val="000000"/>
              </w:rPr>
              <w:t xml:space="preserve">Cause 3 </w:t>
            </w:r>
          </w:p>
        </w:tc>
        <w:tc>
          <w:tcPr>
            <w:tcW w:w="2430" w:type="dxa"/>
          </w:tcPr>
          <w:p w:rsidR="00E46B3A" w:rsidRPr="00740D93" w:rsidRDefault="00E46B3A" w:rsidP="00E46B3A">
            <w:pPr>
              <w:autoSpaceDE w:val="0"/>
              <w:autoSpaceDN w:val="0"/>
              <w:adjustRightInd w:val="0"/>
              <w:jc w:val="right"/>
              <w:rPr>
                <w:rFonts w:cs="Times New Roman"/>
                <w:color w:val="000000"/>
              </w:rPr>
            </w:pPr>
            <w:r w:rsidRPr="00740D93">
              <w:rPr>
                <w:rFonts w:cs="Times New Roman"/>
                <w:color w:val="000000"/>
              </w:rPr>
              <w:t xml:space="preserve">25 </w:t>
            </w:r>
          </w:p>
        </w:tc>
        <w:tc>
          <w:tcPr>
            <w:tcW w:w="2790" w:type="dxa"/>
          </w:tcPr>
          <w:p w:rsidR="00E46B3A" w:rsidRPr="00740D93" w:rsidRDefault="00E46B3A" w:rsidP="00E46B3A">
            <w:pPr>
              <w:autoSpaceDE w:val="0"/>
              <w:autoSpaceDN w:val="0"/>
              <w:adjustRightInd w:val="0"/>
              <w:jc w:val="right"/>
              <w:rPr>
                <w:rFonts w:cs="Times New Roman"/>
                <w:color w:val="000000"/>
              </w:rPr>
            </w:pPr>
            <w:r w:rsidRPr="00740D93">
              <w:rPr>
                <w:rFonts w:cs="Times New Roman"/>
                <w:color w:val="000000"/>
              </w:rPr>
              <w:t xml:space="preserve">55 </w:t>
            </w:r>
          </w:p>
        </w:tc>
      </w:tr>
      <w:tr w:rsidR="004E3393" w:rsidRPr="00740D93" w:rsidTr="005E2391">
        <w:trPr>
          <w:trHeight w:val="145"/>
          <w:jc w:val="center"/>
        </w:trPr>
        <w:tc>
          <w:tcPr>
            <w:tcW w:w="1278" w:type="dxa"/>
          </w:tcPr>
          <w:p w:rsidR="00E46B3A" w:rsidRPr="00740D93" w:rsidRDefault="00E46B3A" w:rsidP="004E3393">
            <w:pPr>
              <w:autoSpaceDE w:val="0"/>
              <w:autoSpaceDN w:val="0"/>
              <w:adjustRightInd w:val="0"/>
              <w:rPr>
                <w:rFonts w:cs="Times New Roman"/>
                <w:color w:val="000000"/>
              </w:rPr>
            </w:pPr>
            <w:r w:rsidRPr="00740D93">
              <w:rPr>
                <w:rFonts w:cs="Times New Roman"/>
                <w:color w:val="000000"/>
              </w:rPr>
              <w:t xml:space="preserve">Cause 1 </w:t>
            </w:r>
          </w:p>
        </w:tc>
        <w:tc>
          <w:tcPr>
            <w:tcW w:w="2430" w:type="dxa"/>
          </w:tcPr>
          <w:p w:rsidR="00E46B3A" w:rsidRPr="00740D93" w:rsidRDefault="00E46B3A" w:rsidP="00E46B3A">
            <w:pPr>
              <w:autoSpaceDE w:val="0"/>
              <w:autoSpaceDN w:val="0"/>
              <w:adjustRightInd w:val="0"/>
              <w:jc w:val="right"/>
              <w:rPr>
                <w:rFonts w:cs="Times New Roman"/>
                <w:color w:val="000000"/>
              </w:rPr>
            </w:pPr>
            <w:r w:rsidRPr="00740D93">
              <w:rPr>
                <w:rFonts w:cs="Times New Roman"/>
                <w:color w:val="000000"/>
              </w:rPr>
              <w:t xml:space="preserve">20 </w:t>
            </w:r>
          </w:p>
        </w:tc>
        <w:tc>
          <w:tcPr>
            <w:tcW w:w="2790" w:type="dxa"/>
          </w:tcPr>
          <w:p w:rsidR="00E46B3A" w:rsidRPr="00740D93" w:rsidRDefault="00E46B3A" w:rsidP="00E46B3A">
            <w:pPr>
              <w:autoSpaceDE w:val="0"/>
              <w:autoSpaceDN w:val="0"/>
              <w:adjustRightInd w:val="0"/>
              <w:jc w:val="right"/>
              <w:rPr>
                <w:rFonts w:cs="Times New Roman"/>
                <w:color w:val="000000"/>
              </w:rPr>
            </w:pPr>
            <w:r w:rsidRPr="00740D93">
              <w:rPr>
                <w:rFonts w:cs="Times New Roman"/>
                <w:color w:val="000000"/>
              </w:rPr>
              <w:t xml:space="preserve">75 </w:t>
            </w:r>
          </w:p>
        </w:tc>
      </w:tr>
      <w:tr w:rsidR="004E3393" w:rsidRPr="00740D93" w:rsidTr="005E2391">
        <w:trPr>
          <w:trHeight w:val="145"/>
          <w:jc w:val="center"/>
        </w:trPr>
        <w:tc>
          <w:tcPr>
            <w:tcW w:w="1278" w:type="dxa"/>
          </w:tcPr>
          <w:p w:rsidR="00E46B3A" w:rsidRPr="00740D93" w:rsidRDefault="00E46B3A" w:rsidP="004E3393">
            <w:pPr>
              <w:autoSpaceDE w:val="0"/>
              <w:autoSpaceDN w:val="0"/>
              <w:adjustRightInd w:val="0"/>
              <w:rPr>
                <w:rFonts w:cs="Times New Roman"/>
                <w:color w:val="000000"/>
              </w:rPr>
            </w:pPr>
            <w:r w:rsidRPr="00740D93">
              <w:rPr>
                <w:rFonts w:cs="Times New Roman"/>
                <w:color w:val="000000"/>
              </w:rPr>
              <w:t xml:space="preserve">Cause 2 </w:t>
            </w:r>
          </w:p>
        </w:tc>
        <w:tc>
          <w:tcPr>
            <w:tcW w:w="2430" w:type="dxa"/>
          </w:tcPr>
          <w:p w:rsidR="00E46B3A" w:rsidRPr="00740D93" w:rsidRDefault="00E46B3A" w:rsidP="00E46B3A">
            <w:pPr>
              <w:autoSpaceDE w:val="0"/>
              <w:autoSpaceDN w:val="0"/>
              <w:adjustRightInd w:val="0"/>
              <w:jc w:val="right"/>
              <w:rPr>
                <w:rFonts w:cs="Times New Roman"/>
                <w:color w:val="000000"/>
              </w:rPr>
            </w:pPr>
            <w:r w:rsidRPr="00740D93">
              <w:rPr>
                <w:rFonts w:cs="Times New Roman"/>
                <w:color w:val="000000"/>
              </w:rPr>
              <w:t xml:space="preserve">15 </w:t>
            </w:r>
          </w:p>
        </w:tc>
        <w:tc>
          <w:tcPr>
            <w:tcW w:w="2790" w:type="dxa"/>
          </w:tcPr>
          <w:p w:rsidR="00E46B3A" w:rsidRPr="00740D93" w:rsidRDefault="00E46B3A" w:rsidP="00E46B3A">
            <w:pPr>
              <w:autoSpaceDE w:val="0"/>
              <w:autoSpaceDN w:val="0"/>
              <w:adjustRightInd w:val="0"/>
              <w:jc w:val="right"/>
              <w:rPr>
                <w:rFonts w:cs="Times New Roman"/>
                <w:color w:val="000000"/>
              </w:rPr>
            </w:pPr>
            <w:r w:rsidRPr="00740D93">
              <w:rPr>
                <w:rFonts w:cs="Times New Roman"/>
                <w:color w:val="000000"/>
              </w:rPr>
              <w:t xml:space="preserve">90 </w:t>
            </w:r>
          </w:p>
        </w:tc>
      </w:tr>
      <w:tr w:rsidR="004E3393" w:rsidRPr="00740D93" w:rsidTr="005E2391">
        <w:trPr>
          <w:trHeight w:val="145"/>
          <w:jc w:val="center"/>
        </w:trPr>
        <w:tc>
          <w:tcPr>
            <w:tcW w:w="1278" w:type="dxa"/>
          </w:tcPr>
          <w:p w:rsidR="00E46B3A" w:rsidRPr="00740D93" w:rsidRDefault="00E46B3A" w:rsidP="004E3393">
            <w:pPr>
              <w:autoSpaceDE w:val="0"/>
              <w:autoSpaceDN w:val="0"/>
              <w:adjustRightInd w:val="0"/>
              <w:rPr>
                <w:rFonts w:cs="Times New Roman"/>
                <w:color w:val="000000"/>
              </w:rPr>
            </w:pPr>
            <w:r w:rsidRPr="00740D93">
              <w:rPr>
                <w:rFonts w:cs="Times New Roman"/>
                <w:color w:val="000000"/>
              </w:rPr>
              <w:t xml:space="preserve">Cause 5 </w:t>
            </w:r>
          </w:p>
        </w:tc>
        <w:tc>
          <w:tcPr>
            <w:tcW w:w="2430" w:type="dxa"/>
          </w:tcPr>
          <w:p w:rsidR="00E46B3A" w:rsidRPr="00740D93" w:rsidRDefault="00E46B3A" w:rsidP="00E46B3A">
            <w:pPr>
              <w:autoSpaceDE w:val="0"/>
              <w:autoSpaceDN w:val="0"/>
              <w:adjustRightInd w:val="0"/>
              <w:jc w:val="right"/>
              <w:rPr>
                <w:rFonts w:cs="Times New Roman"/>
                <w:color w:val="000000"/>
              </w:rPr>
            </w:pPr>
            <w:r w:rsidRPr="00740D93">
              <w:rPr>
                <w:rFonts w:cs="Times New Roman"/>
                <w:color w:val="000000"/>
              </w:rPr>
              <w:t xml:space="preserve">10 </w:t>
            </w:r>
          </w:p>
        </w:tc>
        <w:tc>
          <w:tcPr>
            <w:tcW w:w="2790" w:type="dxa"/>
          </w:tcPr>
          <w:p w:rsidR="00E46B3A" w:rsidRPr="00740D93" w:rsidRDefault="00E46B3A" w:rsidP="00E46B3A">
            <w:pPr>
              <w:autoSpaceDE w:val="0"/>
              <w:autoSpaceDN w:val="0"/>
              <w:adjustRightInd w:val="0"/>
              <w:jc w:val="right"/>
              <w:rPr>
                <w:rFonts w:cs="Times New Roman"/>
                <w:color w:val="000000"/>
              </w:rPr>
            </w:pPr>
            <w:r w:rsidRPr="00740D93">
              <w:rPr>
                <w:rFonts w:cs="Times New Roman"/>
                <w:color w:val="000000"/>
              </w:rPr>
              <w:t xml:space="preserve">100 </w:t>
            </w:r>
          </w:p>
        </w:tc>
      </w:tr>
    </w:tbl>
    <w:p w:rsidR="006C345C" w:rsidRPr="00740D93" w:rsidRDefault="006C345C" w:rsidP="006C345C">
      <w:pPr>
        <w:pStyle w:val="Default"/>
        <w:jc w:val="both"/>
        <w:rPr>
          <w:rFonts w:asciiTheme="minorHAnsi" w:hAnsiTheme="minorHAnsi"/>
          <w:sz w:val="22"/>
          <w:szCs w:val="22"/>
        </w:rPr>
      </w:pPr>
    </w:p>
    <w:p w:rsidR="00740D93" w:rsidRPr="00740D93" w:rsidRDefault="006C345C" w:rsidP="00740D93">
      <w:pPr>
        <w:pStyle w:val="Default"/>
        <w:jc w:val="both"/>
        <w:rPr>
          <w:rFonts w:asciiTheme="minorHAnsi" w:hAnsiTheme="minorHAnsi"/>
          <w:sz w:val="22"/>
          <w:szCs w:val="22"/>
        </w:rPr>
      </w:pPr>
      <w:r w:rsidRPr="00740D93">
        <w:rPr>
          <w:rFonts w:asciiTheme="minorHAnsi" w:hAnsiTheme="minorHAnsi"/>
          <w:sz w:val="22"/>
          <w:szCs w:val="22"/>
        </w:rPr>
        <w:t>(d) A line chart is prepared with the causes on the x-axis and their cumulative pe</w:t>
      </w:r>
      <w:r w:rsidR="00740D93" w:rsidRPr="00740D93">
        <w:rPr>
          <w:rFonts w:asciiTheme="minorHAnsi" w:hAnsiTheme="minorHAnsi"/>
          <w:sz w:val="22"/>
          <w:szCs w:val="22"/>
        </w:rPr>
        <w:t xml:space="preserve">rcentage values are on y-axis. </w:t>
      </w:r>
    </w:p>
    <w:p w:rsidR="00740D93" w:rsidRPr="00740D93" w:rsidRDefault="006C345C" w:rsidP="00740D93">
      <w:pPr>
        <w:pStyle w:val="Default"/>
        <w:jc w:val="both"/>
        <w:rPr>
          <w:rFonts w:asciiTheme="minorHAnsi" w:hAnsiTheme="minorHAnsi"/>
          <w:sz w:val="22"/>
          <w:szCs w:val="22"/>
        </w:rPr>
      </w:pPr>
      <w:r w:rsidRPr="00740D93">
        <w:rPr>
          <w:rFonts w:asciiTheme="minorHAnsi" w:hAnsiTheme="minorHAnsi"/>
          <w:sz w:val="22"/>
          <w:szCs w:val="22"/>
        </w:rPr>
        <w:t>(e) On the same graph, a bar chart is added with causes on the x-axis and percent impacts on the y-axis. An example is shown in Figure 1.</w:t>
      </w:r>
    </w:p>
    <w:p w:rsidR="00E221C9" w:rsidRDefault="00E221C9" w:rsidP="005E2391">
      <w:pPr>
        <w:spacing w:after="0"/>
        <w:jc w:val="center"/>
        <w:rPr>
          <w:i/>
          <w:sz w:val="24"/>
          <w:szCs w:val="24"/>
        </w:rPr>
      </w:pPr>
      <w:r>
        <w:rPr>
          <w:noProof/>
        </w:rPr>
        <w:drawing>
          <wp:inline distT="0" distB="0" distL="0" distR="0" wp14:anchorId="1A4E65BE" wp14:editId="4CA1F0AE">
            <wp:extent cx="5486400" cy="2377440"/>
            <wp:effectExtent l="0" t="0" r="19050" b="2286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E221C9" w:rsidRPr="00740D93" w:rsidRDefault="00E221C9" w:rsidP="006C345C">
      <w:pPr>
        <w:rPr>
          <w:szCs w:val="23"/>
        </w:rPr>
      </w:pPr>
      <w:r w:rsidRPr="00740D93">
        <w:rPr>
          <w:szCs w:val="23"/>
        </w:rPr>
        <w:t>Figure 1. The Initial Chart for Pareto Analysis</w:t>
      </w:r>
    </w:p>
    <w:p w:rsidR="00740D93" w:rsidRPr="00740D93" w:rsidRDefault="00740D93" w:rsidP="00740D93">
      <w:r w:rsidRPr="00740D93">
        <w:t xml:space="preserve">(f) A horizontal line is drawn at 80%. A vertical line is added at the intersection of the 80% line with curve. </w:t>
      </w:r>
    </w:p>
    <w:p w:rsidR="00740D93" w:rsidRPr="00740D93" w:rsidRDefault="00740D93" w:rsidP="00740D93">
      <w:r w:rsidRPr="00740D93">
        <w:t>(g) The point of intersection of the vertical line and x-axis separates the major causes to the left side and minor causes to the right side. An example is provided in Figure 2.</w:t>
      </w:r>
    </w:p>
    <w:p w:rsidR="00EE709F" w:rsidRDefault="005E2391" w:rsidP="005E2391">
      <w:pPr>
        <w:pStyle w:val="Default"/>
        <w:jc w:val="center"/>
        <w:rPr>
          <w:rFonts w:asciiTheme="minorHAnsi" w:hAnsiTheme="minorHAnsi"/>
        </w:rPr>
      </w:pPr>
      <w:r>
        <w:rPr>
          <w:noProof/>
        </w:rPr>
        <w:lastRenderedPageBreak/>
        <w:drawing>
          <wp:inline distT="0" distB="0" distL="0" distR="0" wp14:anchorId="7B9B2810" wp14:editId="0A5CDA63">
            <wp:extent cx="5486400" cy="2743200"/>
            <wp:effectExtent l="0" t="0" r="19050" b="1905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E709F" w:rsidRPr="00740D93" w:rsidRDefault="00EE709F" w:rsidP="00EE709F">
      <w:pPr>
        <w:pStyle w:val="Default"/>
        <w:rPr>
          <w:rFonts w:asciiTheme="minorHAnsi" w:hAnsiTheme="minorHAnsi"/>
          <w:sz w:val="22"/>
          <w:szCs w:val="22"/>
        </w:rPr>
      </w:pPr>
      <w:r w:rsidRPr="00740D93">
        <w:rPr>
          <w:rFonts w:asciiTheme="minorHAnsi" w:hAnsiTheme="minorHAnsi"/>
          <w:sz w:val="22"/>
          <w:szCs w:val="22"/>
        </w:rPr>
        <w:t xml:space="preserve">Figure 2. A Completed Chart for Pareto Analysis </w:t>
      </w:r>
    </w:p>
    <w:p w:rsidR="00EE709F" w:rsidRPr="00740D93" w:rsidRDefault="00EE709F" w:rsidP="00AA0F76">
      <w:pPr>
        <w:pStyle w:val="Default"/>
        <w:rPr>
          <w:rFonts w:asciiTheme="minorHAnsi" w:hAnsiTheme="minorHAnsi"/>
          <w:sz w:val="22"/>
          <w:szCs w:val="22"/>
        </w:rPr>
      </w:pPr>
    </w:p>
    <w:p w:rsidR="00EE709F" w:rsidRDefault="00EE709F" w:rsidP="00AA0F76">
      <w:pPr>
        <w:pStyle w:val="Default"/>
        <w:rPr>
          <w:rFonts w:asciiTheme="minorHAnsi" w:hAnsiTheme="minorHAnsi"/>
          <w:sz w:val="22"/>
          <w:szCs w:val="22"/>
        </w:rPr>
      </w:pPr>
      <w:r w:rsidRPr="00740D93">
        <w:rPr>
          <w:rFonts w:asciiTheme="minorHAnsi" w:hAnsiTheme="minorHAnsi"/>
          <w:sz w:val="22"/>
          <w:szCs w:val="22"/>
        </w:rPr>
        <w:t xml:space="preserve">This technique helps the users to identify the top causes that need to be addressed to resolve the 80% of the problems. Once the major causes are identified, the Fish-bone diagram can be used to illustrate the root causes of the problems. Then efforts can be made to remove the major obstacles in order to develop a more sustainable process. </w:t>
      </w:r>
    </w:p>
    <w:p w:rsidR="00740D93" w:rsidRPr="00740D93" w:rsidRDefault="00740D93" w:rsidP="00D223BC">
      <w:pPr>
        <w:pStyle w:val="Default"/>
        <w:jc w:val="both"/>
        <w:rPr>
          <w:rFonts w:asciiTheme="minorHAnsi" w:hAnsiTheme="minorHAnsi"/>
          <w:sz w:val="22"/>
          <w:szCs w:val="22"/>
        </w:rPr>
      </w:pPr>
    </w:p>
    <w:p w:rsidR="00740D93" w:rsidRDefault="00740D93" w:rsidP="00740D93">
      <w:r w:rsidRPr="00740D93">
        <w:rPr>
          <w:noProof/>
        </w:rPr>
        <w:drawing>
          <wp:inline distT="0" distB="0" distL="0" distR="0" wp14:anchorId="1FC0AF7F" wp14:editId="3E196A69">
            <wp:extent cx="5486400" cy="3172418"/>
            <wp:effectExtent l="0" t="0" r="0"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sh Diagram.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86400" cy="3172418"/>
                    </a:xfrm>
                    <a:prstGeom prst="rect">
                      <a:avLst/>
                    </a:prstGeom>
                  </pic:spPr>
                </pic:pic>
              </a:graphicData>
            </a:graphic>
          </wp:inline>
        </w:drawing>
      </w:r>
    </w:p>
    <w:p w:rsidR="00740D93" w:rsidRPr="00740D93" w:rsidRDefault="00740D93" w:rsidP="00740D93">
      <w:r w:rsidRPr="00740D93">
        <w:t>Figure 3. An example of the Fishbone Diagram</w:t>
      </w:r>
    </w:p>
    <w:p w:rsidR="00EE709F" w:rsidRPr="00740D93" w:rsidRDefault="00EE709F" w:rsidP="00AA0F76">
      <w:pPr>
        <w:pStyle w:val="Default"/>
        <w:rPr>
          <w:rFonts w:asciiTheme="minorHAnsi" w:hAnsiTheme="minorHAnsi"/>
          <w:i/>
          <w:sz w:val="22"/>
          <w:szCs w:val="22"/>
        </w:rPr>
      </w:pPr>
      <w:r w:rsidRPr="00740D93">
        <w:rPr>
          <w:rFonts w:asciiTheme="minorHAnsi" w:hAnsiTheme="minorHAnsi"/>
          <w:bCs/>
          <w:i/>
          <w:sz w:val="22"/>
          <w:szCs w:val="22"/>
        </w:rPr>
        <w:t xml:space="preserve">The Fish-Bone Diagram </w:t>
      </w:r>
    </w:p>
    <w:p w:rsidR="00740D93" w:rsidRDefault="00EE709F" w:rsidP="00AA0F76">
      <w:pPr>
        <w:spacing w:line="240" w:lineRule="auto"/>
      </w:pPr>
      <w:r w:rsidRPr="00740D93">
        <w:t xml:space="preserve">The Fish-Bone diagram, </w:t>
      </w:r>
      <w:r w:rsidR="00740D93">
        <w:t xml:space="preserve">as shown in Figure 3, </w:t>
      </w:r>
      <w:r w:rsidRPr="00740D93">
        <w:t xml:space="preserve">also known as the Ishikawa diagram or cause-and-effect diagram, was developed by Kaoru Ishikawa as a quality control tool. The Fish-bone diagram represents </w:t>
      </w:r>
      <w:r w:rsidRPr="00740D93">
        <w:lastRenderedPageBreak/>
        <w:t>the major problems in a process. In the case study considered here, the Pareto analysis results are used to prepare the Fish-Bone diagram. The Fish-bone diagram helps in visualizing and conveying important relationships between seemingly disconnected elements.</w:t>
      </w:r>
    </w:p>
    <w:p w:rsidR="005E2391" w:rsidRPr="00740D93" w:rsidRDefault="005E2391" w:rsidP="00AA0F76">
      <w:pPr>
        <w:pStyle w:val="Default"/>
        <w:jc w:val="both"/>
        <w:rPr>
          <w:rFonts w:asciiTheme="minorHAnsi" w:hAnsiTheme="minorHAnsi"/>
          <w:sz w:val="22"/>
          <w:szCs w:val="22"/>
          <w:lang w:eastAsia="zh-CN"/>
        </w:rPr>
      </w:pPr>
      <w:r w:rsidRPr="00740D93">
        <w:rPr>
          <w:rFonts w:asciiTheme="minorHAnsi" w:hAnsiTheme="minorHAnsi"/>
          <w:sz w:val="22"/>
          <w:szCs w:val="22"/>
        </w:rPr>
        <w:t xml:space="preserve">The economic analysis, the environmental impacts, and the societal concerns, which form the basis of sustainability assessment, are used as the major criteria to prepare the Fish-bone diagram and Pareto charts. </w:t>
      </w:r>
      <w:r w:rsidR="008F1FA2" w:rsidRPr="00740D93">
        <w:rPr>
          <w:rFonts w:asciiTheme="minorHAnsi" w:hAnsiTheme="minorHAnsi" w:hint="eastAsia"/>
          <w:sz w:val="22"/>
          <w:szCs w:val="22"/>
          <w:lang w:eastAsia="zh-CN"/>
        </w:rPr>
        <w:t>Many different sustainability assessment methodologies have been proposed by different groups and societies.  One assessment method is outlined below as an example.</w:t>
      </w:r>
    </w:p>
    <w:p w:rsidR="005E2391" w:rsidRPr="00AA0F76" w:rsidRDefault="005E2391" w:rsidP="005E2391">
      <w:pPr>
        <w:pStyle w:val="Default"/>
        <w:jc w:val="both"/>
        <w:rPr>
          <w:rFonts w:asciiTheme="minorHAnsi" w:hAnsiTheme="minorHAnsi"/>
          <w:sz w:val="22"/>
          <w:szCs w:val="22"/>
        </w:rPr>
      </w:pPr>
    </w:p>
    <w:p w:rsidR="005E2391" w:rsidRPr="00AA0F76" w:rsidRDefault="005E2391" w:rsidP="005E2391">
      <w:pPr>
        <w:pStyle w:val="Default"/>
        <w:jc w:val="both"/>
        <w:rPr>
          <w:rFonts w:asciiTheme="minorHAnsi" w:hAnsiTheme="minorHAnsi"/>
          <w:i/>
        </w:rPr>
      </w:pPr>
      <w:r w:rsidRPr="00AA0F76">
        <w:rPr>
          <w:rFonts w:asciiTheme="minorHAnsi" w:hAnsiTheme="minorHAnsi"/>
          <w:b/>
          <w:bCs/>
          <w:i/>
        </w:rPr>
        <w:t>SUSTAINABILITY ASSESSMENT METHODOLOGY</w:t>
      </w:r>
    </w:p>
    <w:p w:rsidR="005E2391" w:rsidRPr="00AA0F76" w:rsidRDefault="005E2391" w:rsidP="005E2391">
      <w:pPr>
        <w:pStyle w:val="Default"/>
        <w:rPr>
          <w:rFonts w:asciiTheme="minorHAnsi" w:hAnsiTheme="minorHAnsi"/>
          <w:color w:val="auto"/>
          <w:sz w:val="22"/>
        </w:rPr>
      </w:pPr>
      <w:r w:rsidRPr="00AA0F76">
        <w:rPr>
          <w:rFonts w:asciiTheme="minorHAnsi" w:hAnsiTheme="minorHAnsi"/>
          <w:sz w:val="22"/>
        </w:rPr>
        <w:t>In sustainable development, measuring the economic, environmental and social impacts of an economic activity using specific and defined indicators is very important. The sub-categories considered in each of the dimensions are described below.</w:t>
      </w:r>
    </w:p>
    <w:p w:rsidR="005E2391" w:rsidRPr="00AA0F76" w:rsidRDefault="005E2391" w:rsidP="005E2391">
      <w:pPr>
        <w:pStyle w:val="Default"/>
        <w:rPr>
          <w:rFonts w:asciiTheme="minorHAnsi" w:hAnsiTheme="minorHAnsi"/>
          <w:color w:val="auto"/>
        </w:rPr>
      </w:pPr>
    </w:p>
    <w:p w:rsidR="005E2391" w:rsidRPr="00AA0F76" w:rsidRDefault="005E2391" w:rsidP="005E2391">
      <w:pPr>
        <w:pStyle w:val="Default"/>
        <w:rPr>
          <w:rFonts w:asciiTheme="minorHAnsi" w:hAnsiTheme="minorHAnsi"/>
          <w:sz w:val="22"/>
        </w:rPr>
      </w:pPr>
      <w:r w:rsidRPr="00AA0F76">
        <w:rPr>
          <w:rFonts w:asciiTheme="minorHAnsi" w:hAnsiTheme="minorHAnsi"/>
          <w:b/>
          <w:bCs/>
        </w:rPr>
        <w:t xml:space="preserve">Economic Criteria: </w:t>
      </w:r>
      <w:r w:rsidRPr="00AA0F76">
        <w:rPr>
          <w:rFonts w:asciiTheme="minorHAnsi" w:hAnsiTheme="minorHAnsi"/>
          <w:sz w:val="22"/>
        </w:rPr>
        <w:t>From extensive research [1, 2], it has been determined that the most appropriate economic sub-indices are profit, net present value (NPV) and internal rate of return (IRR) or discounted cash flow rate of return (DCFRR). Profit is calculated by subtracting the production cost from total sales. IRR and NPV include initial investment, annual profit and depreciation, salvage value, and interest on investment. A positive NPV indicates that the project is feasible. When choosing from alternatives, the project with the highest positive NPV is preferred.</w:t>
      </w:r>
    </w:p>
    <w:p w:rsidR="005E2391" w:rsidRPr="00AA0F76" w:rsidRDefault="005E2391" w:rsidP="005E2391">
      <w:pPr>
        <w:pStyle w:val="Default"/>
        <w:rPr>
          <w:rFonts w:asciiTheme="minorHAnsi" w:hAnsiTheme="minorHAnsi"/>
          <w:sz w:val="22"/>
        </w:rPr>
      </w:pPr>
    </w:p>
    <w:p w:rsidR="0056410B" w:rsidRPr="00AA0F76" w:rsidRDefault="0056410B" w:rsidP="0056410B">
      <w:pPr>
        <w:pStyle w:val="NormalWeb"/>
        <w:tabs>
          <w:tab w:val="left" w:pos="730"/>
        </w:tabs>
        <w:spacing w:before="0" w:beforeAutospacing="0" w:after="0" w:afterAutospacing="0"/>
        <w:ind w:left="734" w:hanging="360"/>
        <w:textAlignment w:val="baseline"/>
        <w:rPr>
          <w:rFonts w:asciiTheme="minorHAnsi" w:hAnsiTheme="minorHAnsi"/>
          <w:sz w:val="22"/>
        </w:rPr>
      </w:pPr>
      <w:r w:rsidRPr="00AA0F76">
        <w:rPr>
          <w:rFonts w:asciiTheme="minorHAnsi" w:hAnsiTheme="minorHAnsi" w:cs="Arial"/>
          <w:color w:val="0D0C0B"/>
          <w:kern w:val="24"/>
          <w:sz w:val="32"/>
          <w:szCs w:val="36"/>
        </w:rPr>
        <w:tab/>
      </w:r>
      <w:r w:rsidRPr="00AA0F76">
        <w:rPr>
          <w:rFonts w:asciiTheme="minorHAnsi" w:hAnsiTheme="minorHAnsi" w:cs="Arial"/>
          <w:color w:val="0D0C0B"/>
          <w:kern w:val="24"/>
          <w:sz w:val="22"/>
        </w:rPr>
        <w:t>NPV = -C</w:t>
      </w:r>
      <w:r w:rsidRPr="00AA0F76">
        <w:rPr>
          <w:rFonts w:asciiTheme="minorHAnsi" w:hAnsiTheme="minorHAnsi" w:cs="Arial"/>
          <w:color w:val="0D0C0B"/>
          <w:kern w:val="24"/>
          <w:position w:val="-9"/>
          <w:sz w:val="22"/>
          <w:vertAlign w:val="subscript"/>
        </w:rPr>
        <w:t xml:space="preserve">TCI  </w:t>
      </w:r>
      <w:r w:rsidRPr="00AA0F76">
        <w:rPr>
          <w:rFonts w:asciiTheme="minorHAnsi" w:hAnsiTheme="minorHAnsi" w:cs="Arial"/>
          <w:color w:val="0D0C0B"/>
          <w:kern w:val="24"/>
          <w:sz w:val="22"/>
        </w:rPr>
        <w:t>+  ∑ C</w:t>
      </w:r>
      <w:r w:rsidRPr="00AA0F76">
        <w:rPr>
          <w:rFonts w:asciiTheme="minorHAnsi" w:hAnsiTheme="minorHAnsi" w:cs="Arial"/>
          <w:color w:val="0D0C0B"/>
          <w:kern w:val="24"/>
          <w:position w:val="-9"/>
          <w:sz w:val="22"/>
          <w:vertAlign w:val="subscript"/>
        </w:rPr>
        <w:t>A,m</w:t>
      </w:r>
      <w:r w:rsidRPr="00AA0F76">
        <w:rPr>
          <w:rFonts w:asciiTheme="minorHAnsi" w:hAnsiTheme="minorHAnsi" w:cs="Arial"/>
          <w:color w:val="0D0C0B"/>
          <w:kern w:val="24"/>
          <w:sz w:val="22"/>
        </w:rPr>
        <w:t xml:space="preserve">  / (1+r)</w:t>
      </w:r>
      <w:r w:rsidRPr="00AA0F76">
        <w:rPr>
          <w:rFonts w:asciiTheme="minorHAnsi" w:hAnsiTheme="minorHAnsi" w:cs="Arial"/>
          <w:color w:val="0D0C0B"/>
          <w:kern w:val="24"/>
          <w:position w:val="11"/>
          <w:sz w:val="22"/>
          <w:vertAlign w:val="superscript"/>
        </w:rPr>
        <w:t>m</w:t>
      </w:r>
      <w:r w:rsidR="001D532D" w:rsidRPr="00AA0F76">
        <w:rPr>
          <w:rFonts w:asciiTheme="minorHAnsi" w:hAnsiTheme="minorHAnsi" w:cs="Arial"/>
          <w:color w:val="0D0C0B"/>
          <w:kern w:val="24"/>
          <w:position w:val="11"/>
          <w:sz w:val="22"/>
          <w:vertAlign w:val="superscript"/>
        </w:rPr>
        <w:tab/>
      </w:r>
      <w:r w:rsidR="001D532D" w:rsidRPr="00AA0F76">
        <w:rPr>
          <w:rFonts w:asciiTheme="minorHAnsi" w:hAnsiTheme="minorHAnsi" w:cs="Arial"/>
          <w:color w:val="0D0C0B"/>
          <w:kern w:val="24"/>
          <w:position w:val="11"/>
          <w:sz w:val="22"/>
          <w:vertAlign w:val="superscript"/>
        </w:rPr>
        <w:tab/>
      </w:r>
      <w:r w:rsidR="00C73485" w:rsidRPr="00AA0F76">
        <w:rPr>
          <w:rFonts w:asciiTheme="minorHAnsi" w:hAnsiTheme="minorHAnsi" w:cs="Arial"/>
          <w:color w:val="0D0C0B"/>
          <w:kern w:val="24"/>
          <w:position w:val="11"/>
          <w:sz w:val="22"/>
          <w:vertAlign w:val="superscript"/>
        </w:rPr>
        <w:tab/>
      </w:r>
      <w:r w:rsidR="001D532D" w:rsidRPr="00AA0F76">
        <w:rPr>
          <w:rFonts w:asciiTheme="minorHAnsi" w:hAnsiTheme="minorHAnsi" w:cs="Arial"/>
          <w:color w:val="0D0C0B"/>
          <w:kern w:val="24"/>
          <w:position w:val="11"/>
          <w:sz w:val="22"/>
          <w:vertAlign w:val="superscript"/>
        </w:rPr>
        <w:tab/>
      </w:r>
      <w:r w:rsidR="001D532D" w:rsidRPr="00AA0F76">
        <w:rPr>
          <w:rFonts w:asciiTheme="minorHAnsi" w:hAnsiTheme="minorHAnsi" w:cs="Arial"/>
          <w:color w:val="0D0C0B"/>
          <w:kern w:val="24"/>
          <w:position w:val="11"/>
          <w:sz w:val="22"/>
        </w:rPr>
        <w:t>(1)</w:t>
      </w:r>
    </w:p>
    <w:p w:rsidR="005E2391" w:rsidRPr="00AA0F76" w:rsidRDefault="005E2391" w:rsidP="005E2391">
      <w:pPr>
        <w:pStyle w:val="Default"/>
        <w:ind w:left="900" w:hanging="900"/>
        <w:jc w:val="both"/>
        <w:rPr>
          <w:rFonts w:asciiTheme="minorHAnsi" w:hAnsiTheme="minorHAnsi"/>
          <w:sz w:val="22"/>
        </w:rPr>
      </w:pPr>
      <w:r w:rsidRPr="00AA0F76">
        <w:rPr>
          <w:rFonts w:asciiTheme="minorHAnsi" w:hAnsiTheme="minorHAnsi"/>
          <w:sz w:val="22"/>
        </w:rPr>
        <w:t>C</w:t>
      </w:r>
      <w:r w:rsidRPr="00AA0F76">
        <w:rPr>
          <w:rFonts w:asciiTheme="minorHAnsi" w:hAnsiTheme="minorHAnsi"/>
          <w:position w:val="-8"/>
          <w:sz w:val="22"/>
          <w:vertAlign w:val="subscript"/>
        </w:rPr>
        <w:t>TCI</w:t>
      </w:r>
      <w:r w:rsidRPr="00AA0F76">
        <w:rPr>
          <w:rFonts w:asciiTheme="minorHAnsi" w:hAnsiTheme="minorHAnsi"/>
          <w:sz w:val="22"/>
        </w:rPr>
        <w:t xml:space="preserve">: Total capital investment before base year composed of total fixed capital cost, working capital cost </w:t>
      </w:r>
    </w:p>
    <w:p w:rsidR="005E2391" w:rsidRPr="00AA0F76" w:rsidRDefault="005E2391" w:rsidP="005E2391">
      <w:pPr>
        <w:pStyle w:val="Default"/>
        <w:jc w:val="both"/>
        <w:rPr>
          <w:rFonts w:asciiTheme="minorHAnsi" w:hAnsiTheme="minorHAnsi"/>
          <w:sz w:val="22"/>
        </w:rPr>
      </w:pPr>
      <w:r w:rsidRPr="00AA0F76">
        <w:rPr>
          <w:rFonts w:asciiTheme="minorHAnsi" w:hAnsiTheme="minorHAnsi"/>
          <w:sz w:val="22"/>
        </w:rPr>
        <w:t xml:space="preserve">C </w:t>
      </w:r>
      <w:r w:rsidRPr="00AA0F76">
        <w:rPr>
          <w:rFonts w:asciiTheme="minorHAnsi" w:hAnsiTheme="minorHAnsi"/>
          <w:position w:val="-8"/>
          <w:sz w:val="22"/>
          <w:vertAlign w:val="subscript"/>
        </w:rPr>
        <w:t>A</w:t>
      </w:r>
      <w:r w:rsidRPr="00AA0F76">
        <w:rPr>
          <w:rFonts w:asciiTheme="minorHAnsi" w:hAnsiTheme="minorHAnsi"/>
          <w:sz w:val="22"/>
        </w:rPr>
        <w:t xml:space="preserve">: Total annual income cash flow after base year m </w:t>
      </w:r>
    </w:p>
    <w:p w:rsidR="005E2391" w:rsidRPr="00AA0F76" w:rsidRDefault="005E2391" w:rsidP="005E2391">
      <w:pPr>
        <w:pStyle w:val="Default"/>
        <w:jc w:val="both"/>
        <w:rPr>
          <w:rFonts w:asciiTheme="minorHAnsi" w:hAnsiTheme="minorHAnsi"/>
          <w:sz w:val="22"/>
        </w:rPr>
      </w:pPr>
      <w:r w:rsidRPr="00AA0F76">
        <w:rPr>
          <w:rFonts w:asciiTheme="minorHAnsi" w:hAnsiTheme="minorHAnsi"/>
          <w:sz w:val="22"/>
        </w:rPr>
        <w:t xml:space="preserve">r : The interest rate </w:t>
      </w:r>
    </w:p>
    <w:p w:rsidR="005E2391" w:rsidRPr="00AA0F76" w:rsidRDefault="005E2391" w:rsidP="005E2391">
      <w:pPr>
        <w:pStyle w:val="Default"/>
        <w:jc w:val="both"/>
        <w:rPr>
          <w:rFonts w:asciiTheme="minorHAnsi" w:hAnsiTheme="minorHAnsi"/>
          <w:sz w:val="22"/>
        </w:rPr>
      </w:pPr>
      <w:r w:rsidRPr="00AA0F76">
        <w:rPr>
          <w:rFonts w:asciiTheme="minorHAnsi" w:hAnsiTheme="minorHAnsi"/>
          <w:sz w:val="22"/>
        </w:rPr>
        <w:t xml:space="preserve">x : The project life after base year </w:t>
      </w:r>
    </w:p>
    <w:p w:rsidR="005E2391" w:rsidRPr="00AA0F76" w:rsidRDefault="005E2391" w:rsidP="005E2391">
      <w:pPr>
        <w:pStyle w:val="Default"/>
        <w:spacing w:after="240"/>
        <w:ind w:firstLine="547"/>
        <w:jc w:val="both"/>
        <w:rPr>
          <w:rFonts w:asciiTheme="minorHAnsi" w:hAnsiTheme="minorHAnsi"/>
          <w:sz w:val="22"/>
        </w:rPr>
      </w:pPr>
      <w:r w:rsidRPr="00AA0F76">
        <w:rPr>
          <w:rFonts w:asciiTheme="minorHAnsi" w:hAnsiTheme="minorHAnsi"/>
          <w:sz w:val="22"/>
        </w:rPr>
        <w:t xml:space="preserve">IRR reflects the highest, after-tax interest or discount rate at which the project can just break even. A project that yields a higher IRR is considered more profitable. </w:t>
      </w:r>
    </w:p>
    <w:p w:rsidR="0056410B" w:rsidRPr="00AA0F76" w:rsidRDefault="0056410B" w:rsidP="0056410B">
      <w:pPr>
        <w:pStyle w:val="NormalWeb"/>
        <w:tabs>
          <w:tab w:val="left" w:pos="730"/>
        </w:tabs>
        <w:spacing w:before="0" w:beforeAutospacing="0" w:after="0" w:afterAutospacing="0"/>
        <w:ind w:left="734" w:hanging="360"/>
        <w:textAlignment w:val="baseline"/>
        <w:rPr>
          <w:rFonts w:asciiTheme="minorHAnsi" w:hAnsiTheme="minorHAnsi"/>
          <w:sz w:val="22"/>
        </w:rPr>
      </w:pPr>
      <w:r w:rsidRPr="00AA0F76">
        <w:rPr>
          <w:rFonts w:asciiTheme="minorHAnsi" w:hAnsiTheme="minorHAnsi" w:cs="Arial"/>
          <w:color w:val="0D0C0B"/>
          <w:kern w:val="24"/>
          <w:sz w:val="32"/>
          <w:szCs w:val="36"/>
        </w:rPr>
        <w:tab/>
      </w:r>
      <w:r w:rsidRPr="00AA0F76">
        <w:rPr>
          <w:rFonts w:asciiTheme="minorHAnsi" w:hAnsiTheme="minorHAnsi" w:cs="Arial"/>
          <w:color w:val="0D0C0B"/>
          <w:kern w:val="24"/>
          <w:sz w:val="22"/>
        </w:rPr>
        <w:t>IRR  =  FV / (1+i)</w:t>
      </w:r>
      <w:r w:rsidRPr="00AA0F76">
        <w:rPr>
          <w:rFonts w:asciiTheme="minorHAnsi" w:hAnsiTheme="minorHAnsi" w:cs="Arial"/>
          <w:color w:val="0D0C0B"/>
          <w:kern w:val="24"/>
          <w:position w:val="11"/>
          <w:sz w:val="22"/>
          <w:vertAlign w:val="superscript"/>
        </w:rPr>
        <w:t xml:space="preserve">n </w:t>
      </w:r>
      <w:r w:rsidRPr="00AA0F76">
        <w:rPr>
          <w:rFonts w:asciiTheme="minorHAnsi" w:hAnsiTheme="minorHAnsi" w:cs="Arial"/>
          <w:color w:val="0D0C0B"/>
          <w:kern w:val="24"/>
          <w:sz w:val="22"/>
        </w:rPr>
        <w:t>= FV (1-d)</w:t>
      </w:r>
      <w:r w:rsidRPr="00AA0F76">
        <w:rPr>
          <w:rFonts w:asciiTheme="minorHAnsi" w:hAnsiTheme="minorHAnsi" w:cs="Arial"/>
          <w:color w:val="0D0C0B"/>
          <w:kern w:val="24"/>
          <w:sz w:val="22"/>
        </w:rPr>
        <w:tab/>
      </w:r>
      <w:r w:rsidRPr="00AA0F76">
        <w:rPr>
          <w:rFonts w:asciiTheme="minorHAnsi" w:hAnsiTheme="minorHAnsi" w:cs="Arial"/>
          <w:color w:val="0D0C0B"/>
          <w:kern w:val="24"/>
          <w:sz w:val="22"/>
        </w:rPr>
        <w:tab/>
      </w:r>
      <w:r w:rsidRPr="00AA0F76">
        <w:rPr>
          <w:rFonts w:asciiTheme="minorHAnsi" w:hAnsiTheme="minorHAnsi" w:cs="Arial"/>
          <w:color w:val="0D0C0B"/>
          <w:kern w:val="24"/>
          <w:sz w:val="22"/>
        </w:rPr>
        <w:tab/>
      </w:r>
      <w:r w:rsidRPr="00AA0F76">
        <w:rPr>
          <w:rFonts w:asciiTheme="minorHAnsi" w:hAnsiTheme="minorHAnsi" w:cs="Arial"/>
          <w:color w:val="0D0C0B"/>
          <w:kern w:val="24"/>
          <w:sz w:val="22"/>
        </w:rPr>
        <w:tab/>
        <w:t>(2)</w:t>
      </w:r>
    </w:p>
    <w:p w:rsidR="0056410B" w:rsidRPr="00AA0F76" w:rsidRDefault="0056410B" w:rsidP="005E2391">
      <w:pPr>
        <w:pStyle w:val="Default"/>
        <w:spacing w:after="200"/>
        <w:jc w:val="both"/>
        <w:rPr>
          <w:rFonts w:asciiTheme="minorHAnsi" w:hAnsiTheme="minorHAnsi"/>
          <w:sz w:val="22"/>
          <w:lang w:eastAsia="zh-CN"/>
        </w:rPr>
      </w:pPr>
    </w:p>
    <w:p w:rsidR="005E2391" w:rsidRPr="00AA0F76" w:rsidRDefault="005E2391" w:rsidP="005E2391">
      <w:pPr>
        <w:pStyle w:val="Default"/>
        <w:rPr>
          <w:rFonts w:asciiTheme="minorHAnsi" w:hAnsiTheme="minorHAnsi"/>
          <w:sz w:val="22"/>
        </w:rPr>
      </w:pPr>
      <w:r w:rsidRPr="00AA0F76">
        <w:rPr>
          <w:rFonts w:asciiTheme="minorHAnsi" w:hAnsiTheme="minorHAnsi"/>
          <w:sz w:val="22"/>
        </w:rPr>
        <w:t xml:space="preserve">FV : The nominal value of a cash flow amount in a future period </w:t>
      </w:r>
    </w:p>
    <w:p w:rsidR="005E2391" w:rsidRPr="00AA0F76" w:rsidRDefault="005E2391" w:rsidP="005E2391">
      <w:pPr>
        <w:pStyle w:val="Default"/>
        <w:rPr>
          <w:rFonts w:asciiTheme="minorHAnsi" w:hAnsiTheme="minorHAnsi"/>
          <w:sz w:val="22"/>
        </w:rPr>
      </w:pPr>
      <w:r w:rsidRPr="00AA0F76">
        <w:rPr>
          <w:rFonts w:asciiTheme="minorHAnsi" w:hAnsiTheme="minorHAnsi"/>
          <w:sz w:val="22"/>
        </w:rPr>
        <w:t xml:space="preserve">i : The interest rate </w:t>
      </w:r>
    </w:p>
    <w:p w:rsidR="005E2391" w:rsidRPr="00AA0F76" w:rsidRDefault="005E2391" w:rsidP="005E2391">
      <w:pPr>
        <w:pStyle w:val="Default"/>
        <w:rPr>
          <w:rFonts w:asciiTheme="minorHAnsi" w:hAnsiTheme="minorHAnsi"/>
          <w:sz w:val="22"/>
        </w:rPr>
      </w:pPr>
      <w:r w:rsidRPr="00AA0F76">
        <w:rPr>
          <w:rFonts w:asciiTheme="minorHAnsi" w:hAnsiTheme="minorHAnsi"/>
          <w:sz w:val="22"/>
        </w:rPr>
        <w:t xml:space="preserve">d : The discount rate </w:t>
      </w:r>
    </w:p>
    <w:p w:rsidR="005E2391" w:rsidRPr="00AA0F76" w:rsidRDefault="005E2391" w:rsidP="005E2391">
      <w:pPr>
        <w:pStyle w:val="Default"/>
        <w:jc w:val="both"/>
        <w:rPr>
          <w:rFonts w:asciiTheme="minorHAnsi" w:hAnsiTheme="minorHAnsi"/>
          <w:sz w:val="22"/>
        </w:rPr>
      </w:pPr>
      <w:r w:rsidRPr="00AA0F76">
        <w:rPr>
          <w:rFonts w:asciiTheme="minorHAnsi" w:hAnsiTheme="minorHAnsi"/>
          <w:sz w:val="22"/>
        </w:rPr>
        <w:t xml:space="preserve">n : The time in years before the future cash flow occurs </w:t>
      </w:r>
    </w:p>
    <w:p w:rsidR="00A9489C" w:rsidRPr="00AA0F76" w:rsidRDefault="00A9489C" w:rsidP="005E2391">
      <w:pPr>
        <w:pStyle w:val="Default"/>
        <w:rPr>
          <w:rFonts w:asciiTheme="minorHAnsi" w:hAnsiTheme="minorHAnsi"/>
          <w:b/>
          <w:bCs/>
          <w:sz w:val="22"/>
          <w:lang w:eastAsia="zh-CN"/>
        </w:rPr>
      </w:pPr>
    </w:p>
    <w:p w:rsidR="00A9489C" w:rsidRPr="00AA0F76" w:rsidRDefault="00A9489C" w:rsidP="005E2391">
      <w:pPr>
        <w:pStyle w:val="Default"/>
        <w:rPr>
          <w:rFonts w:asciiTheme="minorHAnsi" w:hAnsiTheme="minorHAnsi"/>
          <w:bCs/>
          <w:sz w:val="22"/>
          <w:lang w:eastAsia="zh-CN"/>
        </w:rPr>
      </w:pPr>
      <w:r w:rsidRPr="00AA0F76">
        <w:rPr>
          <w:rFonts w:asciiTheme="minorHAnsi" w:hAnsiTheme="minorHAnsi"/>
          <w:bCs/>
          <w:sz w:val="22"/>
          <w:lang w:eastAsia="zh-CN"/>
        </w:rPr>
        <w:t>Based on the need, the user can als</w:t>
      </w:r>
      <w:r w:rsidR="007767BB" w:rsidRPr="00AA0F76">
        <w:rPr>
          <w:rFonts w:asciiTheme="minorHAnsi" w:hAnsiTheme="minorHAnsi"/>
          <w:bCs/>
          <w:sz w:val="22"/>
          <w:lang w:eastAsia="zh-CN"/>
        </w:rPr>
        <w:t>o</w:t>
      </w:r>
      <w:r w:rsidRPr="00AA0F76">
        <w:rPr>
          <w:rFonts w:asciiTheme="minorHAnsi" w:hAnsiTheme="minorHAnsi"/>
          <w:bCs/>
          <w:sz w:val="22"/>
          <w:lang w:eastAsia="zh-CN"/>
        </w:rPr>
        <w:t xml:space="preserve"> choose other indicators, such as capital cost only, or operating cost only, or total cost.</w:t>
      </w:r>
    </w:p>
    <w:p w:rsidR="007C5491" w:rsidRPr="00AA0F76" w:rsidRDefault="007C5491" w:rsidP="005E2391">
      <w:pPr>
        <w:pStyle w:val="Default"/>
        <w:rPr>
          <w:rFonts w:asciiTheme="minorHAnsi" w:hAnsiTheme="minorHAnsi"/>
          <w:bCs/>
          <w:sz w:val="22"/>
          <w:lang w:eastAsia="zh-CN"/>
        </w:rPr>
      </w:pPr>
    </w:p>
    <w:p w:rsidR="005E2391" w:rsidRPr="00AA0F76" w:rsidRDefault="005E2391" w:rsidP="005E2391">
      <w:pPr>
        <w:pStyle w:val="Default"/>
        <w:rPr>
          <w:rFonts w:asciiTheme="minorHAnsi" w:hAnsiTheme="minorHAnsi"/>
          <w:sz w:val="22"/>
        </w:rPr>
      </w:pPr>
      <w:r w:rsidRPr="00AA0F76">
        <w:rPr>
          <w:rFonts w:asciiTheme="minorHAnsi" w:hAnsiTheme="minorHAnsi"/>
          <w:b/>
          <w:bCs/>
        </w:rPr>
        <w:t xml:space="preserve">Environmental Criteria: </w:t>
      </w:r>
      <w:r w:rsidRPr="00AA0F76">
        <w:rPr>
          <w:rFonts w:asciiTheme="minorHAnsi" w:hAnsiTheme="minorHAnsi"/>
          <w:sz w:val="22"/>
        </w:rPr>
        <w:t>EPA’s waste reduction (WAR) algorithm [3] analyzes the environmental impacts at the manufacturing stage for the life cycle of the chemical process. The main impact categories are:</w:t>
      </w:r>
    </w:p>
    <w:p w:rsidR="00E37256" w:rsidRDefault="00E37256" w:rsidP="005E2391">
      <w:pPr>
        <w:pStyle w:val="Default"/>
        <w:rPr>
          <w:rFonts w:asciiTheme="minorHAnsi" w:hAnsiTheme="minorHAnsi"/>
          <w:sz w:val="22"/>
        </w:rPr>
      </w:pPr>
    </w:p>
    <w:p w:rsidR="00E37256" w:rsidRDefault="00E37256" w:rsidP="005E2391">
      <w:pPr>
        <w:pStyle w:val="Default"/>
        <w:rPr>
          <w:rFonts w:asciiTheme="minorHAnsi" w:hAnsiTheme="minorHAnsi"/>
          <w:sz w:val="22"/>
        </w:rPr>
      </w:pPr>
    </w:p>
    <w:p w:rsidR="00E37256" w:rsidRDefault="00E37256" w:rsidP="005E2391">
      <w:pPr>
        <w:pStyle w:val="Default"/>
        <w:rPr>
          <w:rFonts w:asciiTheme="minorHAnsi" w:hAnsiTheme="minorHAnsi"/>
          <w:sz w:val="22"/>
        </w:rPr>
      </w:pPr>
    </w:p>
    <w:p w:rsidR="005E2391" w:rsidRPr="00AA0F76" w:rsidRDefault="005E2391" w:rsidP="005E2391">
      <w:pPr>
        <w:pStyle w:val="Default"/>
        <w:rPr>
          <w:rFonts w:asciiTheme="minorHAnsi" w:hAnsiTheme="minorHAnsi"/>
          <w:sz w:val="22"/>
        </w:rPr>
      </w:pPr>
      <w:r w:rsidRPr="00AA0F76">
        <w:rPr>
          <w:rFonts w:asciiTheme="minorHAnsi" w:hAnsiTheme="minorHAnsi"/>
          <w:sz w:val="22"/>
        </w:rPr>
        <w:lastRenderedPageBreak/>
        <w:t>Table 3. Eight Categories of Environmental Impacts Defined by EPA</w:t>
      </w:r>
    </w:p>
    <w:p w:rsidR="005E2391" w:rsidRPr="00AA0F76" w:rsidRDefault="005E2391" w:rsidP="005E2391">
      <w:pPr>
        <w:pStyle w:val="Default"/>
        <w:rPr>
          <w:rFonts w:asciiTheme="minorHAnsi" w:hAnsiTheme="minorHAnsi"/>
          <w:sz w:val="23"/>
          <w:szCs w:val="23"/>
        </w:rPr>
      </w:pPr>
    </w:p>
    <w:tbl>
      <w:tblPr>
        <w:tblStyle w:val="TableGrid"/>
        <w:tblW w:w="9626" w:type="dxa"/>
        <w:tblBorders>
          <w:left w:val="none" w:sz="0" w:space="0" w:color="auto"/>
          <w:right w:val="none" w:sz="0" w:space="0" w:color="auto"/>
          <w:insideH w:val="dotted" w:sz="4" w:space="0" w:color="auto"/>
          <w:insideV w:val="none" w:sz="0" w:space="0" w:color="auto"/>
        </w:tblBorders>
        <w:tblLayout w:type="fixed"/>
        <w:tblLook w:val="0000" w:firstRow="0" w:lastRow="0" w:firstColumn="0" w:lastColumn="0" w:noHBand="0" w:noVBand="0"/>
      </w:tblPr>
      <w:tblGrid>
        <w:gridCol w:w="3130"/>
        <w:gridCol w:w="3366"/>
        <w:gridCol w:w="3130"/>
      </w:tblGrid>
      <w:tr w:rsidR="00E96269" w:rsidRPr="00AA0F76" w:rsidTr="00740D93">
        <w:trPr>
          <w:trHeight w:val="349"/>
        </w:trPr>
        <w:tc>
          <w:tcPr>
            <w:tcW w:w="3130" w:type="dxa"/>
            <w:tcBorders>
              <w:top w:val="single" w:sz="4" w:space="0" w:color="auto"/>
              <w:bottom w:val="single" w:sz="4" w:space="0" w:color="auto"/>
            </w:tcBorders>
            <w:shd w:val="clear" w:color="auto" w:fill="000000" w:themeFill="text1"/>
            <w:vAlign w:val="center"/>
          </w:tcPr>
          <w:p w:rsidR="005E2391" w:rsidRPr="00AA0F76" w:rsidRDefault="005E2391" w:rsidP="00AE6A68">
            <w:pPr>
              <w:pStyle w:val="Default"/>
              <w:rPr>
                <w:rFonts w:asciiTheme="minorHAnsi" w:hAnsiTheme="minorHAnsi"/>
                <w:color w:val="FFFFFF" w:themeColor="background1"/>
                <w:sz w:val="22"/>
              </w:rPr>
            </w:pPr>
            <w:r w:rsidRPr="00AA0F76">
              <w:rPr>
                <w:rFonts w:asciiTheme="minorHAnsi" w:hAnsiTheme="minorHAnsi"/>
                <w:b/>
                <w:bCs/>
                <w:color w:val="FFFFFF" w:themeColor="background1"/>
                <w:sz w:val="22"/>
              </w:rPr>
              <w:t xml:space="preserve">General Impact Category </w:t>
            </w:r>
          </w:p>
        </w:tc>
        <w:tc>
          <w:tcPr>
            <w:tcW w:w="3366" w:type="dxa"/>
            <w:tcBorders>
              <w:top w:val="single" w:sz="4" w:space="0" w:color="auto"/>
              <w:bottom w:val="single" w:sz="4" w:space="0" w:color="auto"/>
            </w:tcBorders>
            <w:shd w:val="clear" w:color="auto" w:fill="000000" w:themeFill="text1"/>
            <w:vAlign w:val="center"/>
          </w:tcPr>
          <w:p w:rsidR="005E2391" w:rsidRPr="00AA0F76" w:rsidRDefault="005E2391" w:rsidP="00AE6A68">
            <w:pPr>
              <w:pStyle w:val="Default"/>
              <w:rPr>
                <w:rFonts w:asciiTheme="minorHAnsi" w:hAnsiTheme="minorHAnsi"/>
                <w:color w:val="FFFFFF" w:themeColor="background1"/>
                <w:sz w:val="22"/>
              </w:rPr>
            </w:pPr>
            <w:r w:rsidRPr="00AA0F76">
              <w:rPr>
                <w:rFonts w:asciiTheme="minorHAnsi" w:hAnsiTheme="minorHAnsi"/>
                <w:b/>
                <w:bCs/>
                <w:color w:val="FFFFFF" w:themeColor="background1"/>
                <w:sz w:val="22"/>
              </w:rPr>
              <w:t xml:space="preserve">Impact Category </w:t>
            </w:r>
          </w:p>
        </w:tc>
        <w:tc>
          <w:tcPr>
            <w:tcW w:w="3130" w:type="dxa"/>
            <w:tcBorders>
              <w:top w:val="single" w:sz="4" w:space="0" w:color="auto"/>
              <w:bottom w:val="single" w:sz="4" w:space="0" w:color="auto"/>
            </w:tcBorders>
            <w:shd w:val="clear" w:color="auto" w:fill="000000" w:themeFill="text1"/>
            <w:vAlign w:val="center"/>
          </w:tcPr>
          <w:p w:rsidR="005E2391" w:rsidRPr="00AA0F76" w:rsidRDefault="005E2391" w:rsidP="00AE6A68">
            <w:pPr>
              <w:pStyle w:val="Default"/>
              <w:rPr>
                <w:rFonts w:asciiTheme="minorHAnsi" w:hAnsiTheme="minorHAnsi"/>
                <w:color w:val="FFFFFF" w:themeColor="background1"/>
                <w:sz w:val="22"/>
              </w:rPr>
            </w:pPr>
            <w:r w:rsidRPr="00AA0F76">
              <w:rPr>
                <w:rFonts w:asciiTheme="minorHAnsi" w:hAnsiTheme="minorHAnsi"/>
                <w:b/>
                <w:bCs/>
                <w:color w:val="FFFFFF" w:themeColor="background1"/>
                <w:sz w:val="22"/>
              </w:rPr>
              <w:t>Measure of Impact Category</w:t>
            </w:r>
          </w:p>
        </w:tc>
      </w:tr>
      <w:tr w:rsidR="00AE6A68" w:rsidRPr="00AA0F76" w:rsidTr="00740D93">
        <w:trPr>
          <w:trHeight w:val="349"/>
        </w:trPr>
        <w:tc>
          <w:tcPr>
            <w:tcW w:w="3130" w:type="dxa"/>
            <w:vMerge w:val="restart"/>
            <w:tcBorders>
              <w:top w:val="single" w:sz="4" w:space="0" w:color="auto"/>
            </w:tcBorders>
            <w:vAlign w:val="center"/>
          </w:tcPr>
          <w:p w:rsidR="00AE6A68" w:rsidRPr="00AA0F76" w:rsidRDefault="00AE6A68" w:rsidP="00AE6A68">
            <w:pPr>
              <w:pStyle w:val="Default"/>
              <w:rPr>
                <w:rFonts w:asciiTheme="minorHAnsi" w:hAnsiTheme="minorHAnsi"/>
                <w:sz w:val="22"/>
              </w:rPr>
            </w:pPr>
            <w:r w:rsidRPr="00AA0F76">
              <w:rPr>
                <w:rFonts w:asciiTheme="minorHAnsi" w:hAnsiTheme="minorHAnsi"/>
                <w:sz w:val="22"/>
              </w:rPr>
              <w:t>Human Toxicity</w:t>
            </w:r>
          </w:p>
        </w:tc>
        <w:tc>
          <w:tcPr>
            <w:tcW w:w="3366" w:type="dxa"/>
            <w:tcBorders>
              <w:top w:val="single" w:sz="4" w:space="0" w:color="auto"/>
            </w:tcBorders>
            <w:vAlign w:val="center"/>
          </w:tcPr>
          <w:p w:rsidR="00AE6A68" w:rsidRPr="00AA0F76" w:rsidRDefault="00AE6A68" w:rsidP="00AE6A68">
            <w:pPr>
              <w:pStyle w:val="Default"/>
              <w:rPr>
                <w:rFonts w:asciiTheme="minorHAnsi" w:hAnsiTheme="minorHAnsi"/>
                <w:sz w:val="22"/>
              </w:rPr>
            </w:pPr>
            <w:r w:rsidRPr="00AA0F76">
              <w:rPr>
                <w:rFonts w:asciiTheme="minorHAnsi" w:hAnsiTheme="minorHAnsi"/>
                <w:sz w:val="22"/>
              </w:rPr>
              <w:t>Ingestion</w:t>
            </w:r>
          </w:p>
        </w:tc>
        <w:tc>
          <w:tcPr>
            <w:tcW w:w="3130" w:type="dxa"/>
            <w:tcBorders>
              <w:top w:val="single" w:sz="4" w:space="0" w:color="auto"/>
            </w:tcBorders>
            <w:vAlign w:val="center"/>
          </w:tcPr>
          <w:p w:rsidR="00AE6A68" w:rsidRPr="00AA0F76" w:rsidRDefault="00AE6A68" w:rsidP="00AE6A68">
            <w:pPr>
              <w:pStyle w:val="Default"/>
              <w:rPr>
                <w:rFonts w:asciiTheme="minorHAnsi" w:hAnsiTheme="minorHAnsi"/>
                <w:sz w:val="22"/>
              </w:rPr>
            </w:pPr>
            <w:r w:rsidRPr="00AA0F76">
              <w:rPr>
                <w:rFonts w:asciiTheme="minorHAnsi" w:hAnsiTheme="minorHAnsi"/>
                <w:sz w:val="22"/>
              </w:rPr>
              <w:t>LD</w:t>
            </w:r>
            <w:r w:rsidRPr="00AA0F76">
              <w:rPr>
                <w:rFonts w:asciiTheme="minorHAnsi" w:hAnsiTheme="minorHAnsi"/>
                <w:position w:val="-8"/>
                <w:sz w:val="22"/>
                <w:vertAlign w:val="subscript"/>
              </w:rPr>
              <w:t>50</w:t>
            </w:r>
          </w:p>
        </w:tc>
      </w:tr>
      <w:tr w:rsidR="00AE6A68" w:rsidRPr="00AA0F76" w:rsidTr="00740D93">
        <w:trPr>
          <w:trHeight w:val="349"/>
        </w:trPr>
        <w:tc>
          <w:tcPr>
            <w:tcW w:w="3130" w:type="dxa"/>
            <w:vMerge/>
            <w:vAlign w:val="center"/>
          </w:tcPr>
          <w:p w:rsidR="00AE6A68" w:rsidRPr="00AA0F76" w:rsidRDefault="00AE6A68" w:rsidP="00AE6A68">
            <w:pPr>
              <w:pStyle w:val="Default"/>
              <w:rPr>
                <w:rFonts w:asciiTheme="minorHAnsi" w:hAnsiTheme="minorHAnsi"/>
                <w:sz w:val="22"/>
              </w:rPr>
            </w:pPr>
          </w:p>
        </w:tc>
        <w:tc>
          <w:tcPr>
            <w:tcW w:w="3366" w:type="dxa"/>
            <w:vAlign w:val="center"/>
          </w:tcPr>
          <w:p w:rsidR="00AE6A68" w:rsidRPr="00AA0F76" w:rsidRDefault="00AE6A68" w:rsidP="00AE6A68">
            <w:pPr>
              <w:pStyle w:val="Default"/>
              <w:rPr>
                <w:rFonts w:asciiTheme="minorHAnsi" w:hAnsiTheme="minorHAnsi"/>
                <w:sz w:val="22"/>
              </w:rPr>
            </w:pPr>
            <w:r w:rsidRPr="00AA0F76">
              <w:rPr>
                <w:rFonts w:asciiTheme="minorHAnsi" w:hAnsiTheme="minorHAnsi"/>
                <w:sz w:val="22"/>
              </w:rPr>
              <w:t>Inhalation/Dermal</w:t>
            </w:r>
          </w:p>
        </w:tc>
        <w:tc>
          <w:tcPr>
            <w:tcW w:w="3130" w:type="dxa"/>
            <w:vAlign w:val="center"/>
          </w:tcPr>
          <w:p w:rsidR="00AE6A68" w:rsidRPr="00AA0F76" w:rsidRDefault="00AE6A68" w:rsidP="00AE6A68">
            <w:pPr>
              <w:pStyle w:val="Default"/>
              <w:rPr>
                <w:rFonts w:asciiTheme="minorHAnsi" w:hAnsiTheme="minorHAnsi"/>
                <w:sz w:val="22"/>
              </w:rPr>
            </w:pPr>
            <w:r w:rsidRPr="00AA0F76">
              <w:rPr>
                <w:rFonts w:asciiTheme="minorHAnsi" w:hAnsiTheme="minorHAnsi"/>
                <w:sz w:val="22"/>
              </w:rPr>
              <w:t>OSHA PEL</w:t>
            </w:r>
          </w:p>
        </w:tc>
      </w:tr>
      <w:tr w:rsidR="00AE6A68" w:rsidRPr="00AA0F76" w:rsidTr="00740D93">
        <w:trPr>
          <w:trHeight w:val="349"/>
        </w:trPr>
        <w:tc>
          <w:tcPr>
            <w:tcW w:w="3130" w:type="dxa"/>
            <w:vMerge w:val="restart"/>
            <w:vAlign w:val="center"/>
          </w:tcPr>
          <w:p w:rsidR="00AE6A68" w:rsidRPr="00AA0F76" w:rsidRDefault="00AE6A68" w:rsidP="00AE6A68">
            <w:pPr>
              <w:pStyle w:val="Default"/>
              <w:rPr>
                <w:rFonts w:asciiTheme="minorHAnsi" w:hAnsiTheme="minorHAnsi"/>
                <w:sz w:val="22"/>
              </w:rPr>
            </w:pPr>
            <w:r w:rsidRPr="00AA0F76">
              <w:rPr>
                <w:rFonts w:asciiTheme="minorHAnsi" w:hAnsiTheme="minorHAnsi"/>
                <w:sz w:val="22"/>
              </w:rPr>
              <w:t>Ecological Toxicity</w:t>
            </w:r>
          </w:p>
        </w:tc>
        <w:tc>
          <w:tcPr>
            <w:tcW w:w="3366" w:type="dxa"/>
            <w:vAlign w:val="center"/>
          </w:tcPr>
          <w:p w:rsidR="00AE6A68" w:rsidRPr="00AA0F76" w:rsidRDefault="00AE6A68" w:rsidP="00AE6A68">
            <w:pPr>
              <w:pStyle w:val="Default"/>
              <w:rPr>
                <w:rFonts w:asciiTheme="minorHAnsi" w:hAnsiTheme="minorHAnsi"/>
                <w:sz w:val="22"/>
              </w:rPr>
            </w:pPr>
            <w:r w:rsidRPr="00AA0F76">
              <w:rPr>
                <w:rFonts w:asciiTheme="minorHAnsi" w:hAnsiTheme="minorHAnsi"/>
                <w:sz w:val="22"/>
              </w:rPr>
              <w:t>Aquatic Toxicity</w:t>
            </w:r>
          </w:p>
        </w:tc>
        <w:tc>
          <w:tcPr>
            <w:tcW w:w="3130" w:type="dxa"/>
            <w:vAlign w:val="center"/>
          </w:tcPr>
          <w:p w:rsidR="00AE6A68" w:rsidRPr="00AA0F76" w:rsidRDefault="00AE6A68" w:rsidP="00AE6A68">
            <w:pPr>
              <w:pStyle w:val="Default"/>
              <w:rPr>
                <w:rFonts w:asciiTheme="minorHAnsi" w:hAnsiTheme="minorHAnsi"/>
                <w:sz w:val="22"/>
              </w:rPr>
            </w:pPr>
            <w:r w:rsidRPr="00AA0F76">
              <w:rPr>
                <w:rFonts w:asciiTheme="minorHAnsi" w:hAnsiTheme="minorHAnsi"/>
                <w:sz w:val="22"/>
              </w:rPr>
              <w:t>Fathead Minnow LC</w:t>
            </w:r>
            <w:r w:rsidRPr="00AA0F76">
              <w:rPr>
                <w:rFonts w:asciiTheme="minorHAnsi" w:hAnsiTheme="minorHAnsi"/>
                <w:position w:val="-8"/>
                <w:sz w:val="22"/>
                <w:vertAlign w:val="subscript"/>
              </w:rPr>
              <w:t>50</w:t>
            </w:r>
          </w:p>
        </w:tc>
      </w:tr>
      <w:tr w:rsidR="00AE6A68" w:rsidRPr="00AA0F76" w:rsidTr="00740D93">
        <w:trPr>
          <w:trHeight w:val="349"/>
        </w:trPr>
        <w:tc>
          <w:tcPr>
            <w:tcW w:w="3130" w:type="dxa"/>
            <w:vMerge/>
            <w:vAlign w:val="center"/>
          </w:tcPr>
          <w:p w:rsidR="00AE6A68" w:rsidRPr="00AA0F76" w:rsidRDefault="00AE6A68" w:rsidP="00AE6A68">
            <w:pPr>
              <w:pStyle w:val="Default"/>
              <w:rPr>
                <w:rFonts w:asciiTheme="minorHAnsi" w:hAnsiTheme="minorHAnsi"/>
                <w:sz w:val="22"/>
              </w:rPr>
            </w:pPr>
          </w:p>
        </w:tc>
        <w:tc>
          <w:tcPr>
            <w:tcW w:w="3366" w:type="dxa"/>
            <w:vAlign w:val="center"/>
          </w:tcPr>
          <w:p w:rsidR="00AE6A68" w:rsidRPr="00AA0F76" w:rsidRDefault="00AE6A68" w:rsidP="00AE6A68">
            <w:pPr>
              <w:pStyle w:val="Default"/>
              <w:rPr>
                <w:rFonts w:asciiTheme="minorHAnsi" w:hAnsiTheme="minorHAnsi"/>
                <w:sz w:val="22"/>
              </w:rPr>
            </w:pPr>
            <w:r w:rsidRPr="00AA0F76">
              <w:rPr>
                <w:rFonts w:asciiTheme="minorHAnsi" w:hAnsiTheme="minorHAnsi"/>
                <w:sz w:val="22"/>
              </w:rPr>
              <w:t>Terrestrial Toxicity</w:t>
            </w:r>
          </w:p>
        </w:tc>
        <w:tc>
          <w:tcPr>
            <w:tcW w:w="3130" w:type="dxa"/>
            <w:vAlign w:val="center"/>
          </w:tcPr>
          <w:p w:rsidR="00AE6A68" w:rsidRPr="00AA0F76" w:rsidRDefault="00AE6A68" w:rsidP="00AE6A68">
            <w:pPr>
              <w:pStyle w:val="Default"/>
              <w:rPr>
                <w:rFonts w:asciiTheme="minorHAnsi" w:hAnsiTheme="minorHAnsi"/>
                <w:sz w:val="22"/>
              </w:rPr>
            </w:pPr>
            <w:r w:rsidRPr="00AA0F76">
              <w:rPr>
                <w:rFonts w:asciiTheme="minorHAnsi" w:hAnsiTheme="minorHAnsi"/>
                <w:sz w:val="22"/>
              </w:rPr>
              <w:t>LD</w:t>
            </w:r>
            <w:r w:rsidRPr="00AA0F76">
              <w:rPr>
                <w:rFonts w:asciiTheme="minorHAnsi" w:hAnsiTheme="minorHAnsi"/>
                <w:position w:val="-8"/>
                <w:sz w:val="22"/>
                <w:vertAlign w:val="subscript"/>
              </w:rPr>
              <w:t>50</w:t>
            </w:r>
          </w:p>
        </w:tc>
      </w:tr>
      <w:tr w:rsidR="00AE6A68" w:rsidRPr="00AA0F76" w:rsidTr="00740D93">
        <w:trPr>
          <w:trHeight w:val="349"/>
        </w:trPr>
        <w:tc>
          <w:tcPr>
            <w:tcW w:w="3130" w:type="dxa"/>
            <w:vMerge w:val="restart"/>
            <w:vAlign w:val="center"/>
          </w:tcPr>
          <w:p w:rsidR="00AE6A68" w:rsidRPr="00AA0F76" w:rsidRDefault="00AE6A68" w:rsidP="00AE6A68">
            <w:pPr>
              <w:pStyle w:val="Default"/>
              <w:rPr>
                <w:rFonts w:asciiTheme="minorHAnsi" w:hAnsiTheme="minorHAnsi"/>
                <w:sz w:val="22"/>
              </w:rPr>
            </w:pPr>
            <w:r w:rsidRPr="00AA0F76">
              <w:rPr>
                <w:rFonts w:asciiTheme="minorHAnsi" w:hAnsiTheme="minorHAnsi"/>
                <w:sz w:val="22"/>
              </w:rPr>
              <w:t>Atmospheric Impacts</w:t>
            </w:r>
          </w:p>
        </w:tc>
        <w:tc>
          <w:tcPr>
            <w:tcW w:w="3366" w:type="dxa"/>
            <w:vAlign w:val="center"/>
          </w:tcPr>
          <w:p w:rsidR="00AE6A68" w:rsidRPr="00AA0F76" w:rsidRDefault="00AE6A68" w:rsidP="00AE6A68">
            <w:pPr>
              <w:pStyle w:val="Default"/>
              <w:rPr>
                <w:rFonts w:asciiTheme="minorHAnsi" w:hAnsiTheme="minorHAnsi"/>
                <w:sz w:val="22"/>
              </w:rPr>
            </w:pPr>
            <w:r w:rsidRPr="00AA0F76">
              <w:rPr>
                <w:rFonts w:asciiTheme="minorHAnsi" w:hAnsiTheme="minorHAnsi"/>
                <w:sz w:val="22"/>
              </w:rPr>
              <w:t>Global Warming Potential</w:t>
            </w:r>
          </w:p>
        </w:tc>
        <w:tc>
          <w:tcPr>
            <w:tcW w:w="3130" w:type="dxa"/>
            <w:vAlign w:val="center"/>
          </w:tcPr>
          <w:p w:rsidR="00AE6A68" w:rsidRPr="00AA0F76" w:rsidRDefault="00AE6A68" w:rsidP="00AE6A68">
            <w:pPr>
              <w:pStyle w:val="Default"/>
              <w:rPr>
                <w:rFonts w:asciiTheme="minorHAnsi" w:hAnsiTheme="minorHAnsi"/>
                <w:sz w:val="22"/>
              </w:rPr>
            </w:pPr>
            <w:r w:rsidRPr="00AA0F76">
              <w:rPr>
                <w:rFonts w:asciiTheme="minorHAnsi" w:hAnsiTheme="minorHAnsi"/>
                <w:sz w:val="22"/>
              </w:rPr>
              <w:t>GWP</w:t>
            </w:r>
          </w:p>
        </w:tc>
      </w:tr>
      <w:tr w:rsidR="00AE6A68" w:rsidRPr="00AA0F76" w:rsidTr="00740D93">
        <w:trPr>
          <w:trHeight w:val="349"/>
        </w:trPr>
        <w:tc>
          <w:tcPr>
            <w:tcW w:w="3130" w:type="dxa"/>
            <w:vMerge/>
            <w:vAlign w:val="center"/>
          </w:tcPr>
          <w:p w:rsidR="00AE6A68" w:rsidRPr="00AA0F76" w:rsidRDefault="00AE6A68" w:rsidP="00AE6A68">
            <w:pPr>
              <w:pStyle w:val="Default"/>
              <w:rPr>
                <w:rFonts w:asciiTheme="minorHAnsi" w:hAnsiTheme="minorHAnsi"/>
                <w:sz w:val="22"/>
              </w:rPr>
            </w:pPr>
          </w:p>
        </w:tc>
        <w:tc>
          <w:tcPr>
            <w:tcW w:w="3366" w:type="dxa"/>
            <w:vAlign w:val="center"/>
          </w:tcPr>
          <w:p w:rsidR="00AE6A68" w:rsidRPr="00AA0F76" w:rsidRDefault="00AE6A68" w:rsidP="00AE6A68">
            <w:pPr>
              <w:pStyle w:val="Default"/>
              <w:rPr>
                <w:rFonts w:asciiTheme="minorHAnsi" w:hAnsiTheme="minorHAnsi"/>
                <w:sz w:val="22"/>
              </w:rPr>
            </w:pPr>
            <w:r w:rsidRPr="00AA0F76">
              <w:rPr>
                <w:rFonts w:asciiTheme="minorHAnsi" w:hAnsiTheme="minorHAnsi"/>
                <w:sz w:val="22"/>
              </w:rPr>
              <w:t>Ozone Depletion Potential</w:t>
            </w:r>
          </w:p>
        </w:tc>
        <w:tc>
          <w:tcPr>
            <w:tcW w:w="3130" w:type="dxa"/>
            <w:vAlign w:val="center"/>
          </w:tcPr>
          <w:p w:rsidR="00AE6A68" w:rsidRPr="00AA0F76" w:rsidRDefault="00AE6A68" w:rsidP="00AE6A68">
            <w:pPr>
              <w:pStyle w:val="Default"/>
              <w:rPr>
                <w:rFonts w:asciiTheme="minorHAnsi" w:hAnsiTheme="minorHAnsi"/>
                <w:sz w:val="22"/>
              </w:rPr>
            </w:pPr>
            <w:r w:rsidRPr="00AA0F76">
              <w:rPr>
                <w:rFonts w:asciiTheme="minorHAnsi" w:hAnsiTheme="minorHAnsi"/>
                <w:sz w:val="22"/>
              </w:rPr>
              <w:t>ODP</w:t>
            </w:r>
          </w:p>
        </w:tc>
      </w:tr>
      <w:tr w:rsidR="00AE6A68" w:rsidRPr="00AA0F76" w:rsidTr="00740D93">
        <w:trPr>
          <w:trHeight w:val="349"/>
        </w:trPr>
        <w:tc>
          <w:tcPr>
            <w:tcW w:w="3130" w:type="dxa"/>
            <w:vMerge w:val="restart"/>
            <w:vAlign w:val="center"/>
          </w:tcPr>
          <w:p w:rsidR="00AE6A68" w:rsidRPr="00AA0F76" w:rsidRDefault="00AE6A68" w:rsidP="00AE6A68">
            <w:pPr>
              <w:pStyle w:val="Default"/>
              <w:rPr>
                <w:rFonts w:asciiTheme="minorHAnsi" w:hAnsiTheme="minorHAnsi"/>
                <w:sz w:val="22"/>
              </w:rPr>
            </w:pPr>
            <w:r w:rsidRPr="00AA0F76">
              <w:rPr>
                <w:rFonts w:asciiTheme="minorHAnsi" w:hAnsiTheme="minorHAnsi"/>
                <w:sz w:val="22"/>
              </w:rPr>
              <w:t>Regional Atmospheric Impacts</w:t>
            </w:r>
          </w:p>
        </w:tc>
        <w:tc>
          <w:tcPr>
            <w:tcW w:w="3366" w:type="dxa"/>
            <w:vAlign w:val="center"/>
          </w:tcPr>
          <w:p w:rsidR="00AE6A68" w:rsidRPr="00AA0F76" w:rsidRDefault="00AE6A68" w:rsidP="00AE6A68">
            <w:pPr>
              <w:pStyle w:val="Default"/>
              <w:rPr>
                <w:rFonts w:asciiTheme="minorHAnsi" w:hAnsiTheme="minorHAnsi"/>
                <w:sz w:val="22"/>
              </w:rPr>
            </w:pPr>
            <w:r w:rsidRPr="00AA0F76">
              <w:rPr>
                <w:rFonts w:asciiTheme="minorHAnsi" w:hAnsiTheme="minorHAnsi"/>
                <w:sz w:val="22"/>
              </w:rPr>
              <w:t>Acidification Potential</w:t>
            </w:r>
          </w:p>
        </w:tc>
        <w:tc>
          <w:tcPr>
            <w:tcW w:w="3130" w:type="dxa"/>
            <w:vAlign w:val="center"/>
          </w:tcPr>
          <w:p w:rsidR="00AE6A68" w:rsidRPr="00AA0F76" w:rsidRDefault="00AE6A68" w:rsidP="00AE6A68">
            <w:pPr>
              <w:pStyle w:val="Default"/>
              <w:rPr>
                <w:rFonts w:asciiTheme="minorHAnsi" w:hAnsiTheme="minorHAnsi"/>
                <w:sz w:val="22"/>
              </w:rPr>
            </w:pPr>
            <w:r w:rsidRPr="00AA0F76">
              <w:rPr>
                <w:rFonts w:asciiTheme="minorHAnsi" w:hAnsiTheme="minorHAnsi"/>
                <w:sz w:val="22"/>
              </w:rPr>
              <w:t>AP</w:t>
            </w:r>
          </w:p>
        </w:tc>
      </w:tr>
      <w:tr w:rsidR="00AE6A68" w:rsidRPr="00AA0F76" w:rsidTr="00740D93">
        <w:trPr>
          <w:trHeight w:val="349"/>
        </w:trPr>
        <w:tc>
          <w:tcPr>
            <w:tcW w:w="3130" w:type="dxa"/>
            <w:vMerge/>
            <w:vAlign w:val="center"/>
          </w:tcPr>
          <w:p w:rsidR="00AE6A68" w:rsidRPr="00AA0F76" w:rsidRDefault="00AE6A68" w:rsidP="00AE6A68">
            <w:pPr>
              <w:pStyle w:val="Default"/>
              <w:rPr>
                <w:rFonts w:asciiTheme="minorHAnsi" w:hAnsiTheme="minorHAnsi"/>
                <w:sz w:val="22"/>
              </w:rPr>
            </w:pPr>
          </w:p>
        </w:tc>
        <w:tc>
          <w:tcPr>
            <w:tcW w:w="3366" w:type="dxa"/>
            <w:vAlign w:val="center"/>
          </w:tcPr>
          <w:p w:rsidR="00AE6A68" w:rsidRPr="00AA0F76" w:rsidRDefault="00AE6A68" w:rsidP="00AE6A68">
            <w:pPr>
              <w:pStyle w:val="Default"/>
              <w:rPr>
                <w:rFonts w:asciiTheme="minorHAnsi" w:hAnsiTheme="minorHAnsi"/>
                <w:sz w:val="22"/>
              </w:rPr>
            </w:pPr>
            <w:r w:rsidRPr="00AA0F76">
              <w:rPr>
                <w:rFonts w:asciiTheme="minorHAnsi" w:hAnsiTheme="minorHAnsi"/>
                <w:sz w:val="22"/>
              </w:rPr>
              <w:t>Photochemical Oxidation Potential</w:t>
            </w:r>
          </w:p>
        </w:tc>
        <w:tc>
          <w:tcPr>
            <w:tcW w:w="3130" w:type="dxa"/>
            <w:vAlign w:val="center"/>
          </w:tcPr>
          <w:p w:rsidR="00AE6A68" w:rsidRPr="00AA0F76" w:rsidRDefault="00AE6A68" w:rsidP="00AE6A68">
            <w:pPr>
              <w:pStyle w:val="Default"/>
              <w:rPr>
                <w:rFonts w:asciiTheme="minorHAnsi" w:hAnsiTheme="minorHAnsi"/>
                <w:sz w:val="22"/>
              </w:rPr>
            </w:pPr>
            <w:r w:rsidRPr="00AA0F76">
              <w:rPr>
                <w:rFonts w:asciiTheme="minorHAnsi" w:hAnsiTheme="minorHAnsi"/>
                <w:sz w:val="22"/>
              </w:rPr>
              <w:t>PCOP</w:t>
            </w:r>
          </w:p>
        </w:tc>
      </w:tr>
    </w:tbl>
    <w:p w:rsidR="005E2391" w:rsidRPr="00AA0F76" w:rsidRDefault="005E2391" w:rsidP="005E2391">
      <w:pPr>
        <w:pStyle w:val="Default"/>
        <w:rPr>
          <w:rFonts w:asciiTheme="minorHAnsi" w:hAnsiTheme="minorHAnsi"/>
          <w:sz w:val="18"/>
          <w:szCs w:val="18"/>
        </w:rPr>
      </w:pPr>
    </w:p>
    <w:p w:rsidR="00BC541D" w:rsidRPr="00AA0F76" w:rsidRDefault="00BC541D" w:rsidP="00BC541D">
      <w:pPr>
        <w:pStyle w:val="Default"/>
        <w:spacing w:after="200"/>
        <w:ind w:firstLine="720"/>
        <w:jc w:val="both"/>
        <w:rPr>
          <w:rFonts w:asciiTheme="minorHAnsi" w:hAnsiTheme="minorHAnsi"/>
          <w:sz w:val="22"/>
        </w:rPr>
      </w:pPr>
      <w:r w:rsidRPr="00AA0F76">
        <w:rPr>
          <w:rFonts w:asciiTheme="minorHAnsi" w:hAnsiTheme="minorHAnsi"/>
          <w:sz w:val="22"/>
        </w:rPr>
        <w:t>The WAR algorithm provides a relative indication of the environmental friendliness or unfriendliness of a given process based on the potential environmental impacts of the chemicals. The PEI indexes use mass and energy balance</w:t>
      </w:r>
      <w:r w:rsidR="0096692E" w:rsidRPr="00AA0F76" w:rsidDel="0096692E">
        <w:rPr>
          <w:rFonts w:asciiTheme="minorHAnsi" w:hAnsiTheme="minorHAnsi"/>
          <w:sz w:val="22"/>
        </w:rPr>
        <w:t xml:space="preserve"> </w:t>
      </w:r>
      <w:r w:rsidRPr="00AA0F76">
        <w:rPr>
          <w:rFonts w:asciiTheme="minorHAnsi" w:hAnsiTheme="minorHAnsi"/>
          <w:sz w:val="22"/>
        </w:rPr>
        <w:t>to calculate environmental impacts of the process</w:t>
      </w:r>
      <w:r w:rsidR="007C30B4" w:rsidRPr="00AA0F76">
        <w:rPr>
          <w:rFonts w:asciiTheme="minorHAnsi" w:hAnsiTheme="minorHAnsi"/>
          <w:sz w:val="22"/>
        </w:rPr>
        <w:t xml:space="preserve"> as shown in eq.3</w:t>
      </w:r>
      <w:r w:rsidRPr="00AA0F76">
        <w:rPr>
          <w:rFonts w:asciiTheme="minorHAnsi" w:hAnsiTheme="minorHAnsi"/>
          <w:sz w:val="22"/>
        </w:rPr>
        <w:t xml:space="preserve">. The WAR software contains a database of relative environmental impact scores. </w:t>
      </w:r>
    </w:p>
    <w:p w:rsidR="007C30B4" w:rsidRPr="00AA0F76" w:rsidRDefault="00EE1A42" w:rsidP="007767BB">
      <w:pPr>
        <w:jc w:val="center"/>
        <w:rPr>
          <w:szCs w:val="24"/>
        </w:rPr>
      </w:pPr>
      <m:oMath>
        <m:f>
          <m:fPr>
            <m:ctrlPr>
              <w:rPr>
                <w:rFonts w:ascii="Cambria Math" w:hAnsi="Cambria Math"/>
                <w:i/>
                <w:szCs w:val="24"/>
                <w:lang w:eastAsia="zh-CN"/>
              </w:rPr>
            </m:ctrlPr>
          </m:fPr>
          <m:num>
            <m:r>
              <w:rPr>
                <w:rFonts w:ascii="Cambria Math" w:hAnsi="Cambria Math"/>
                <w:szCs w:val="24"/>
              </w:rPr>
              <m:t>∂</m:t>
            </m:r>
            <m:sSub>
              <m:sSubPr>
                <m:ctrlPr>
                  <w:rPr>
                    <w:rFonts w:ascii="Cambria Math" w:hAnsi="Cambria Math"/>
                    <w:i/>
                    <w:szCs w:val="24"/>
                    <w:lang w:eastAsia="zh-CN"/>
                  </w:rPr>
                </m:ctrlPr>
              </m:sSubPr>
              <m:e>
                <m:r>
                  <w:rPr>
                    <w:rFonts w:ascii="Cambria Math" w:hAnsi="Cambria Math"/>
                    <w:szCs w:val="24"/>
                  </w:rPr>
                  <m:t>I</m:t>
                </m:r>
              </m:e>
              <m:sub>
                <m:r>
                  <w:rPr>
                    <w:rFonts w:ascii="Cambria Math" w:hAnsi="Cambria Math"/>
                    <w:szCs w:val="24"/>
                  </w:rPr>
                  <m:t>syst</m:t>
                </m:r>
              </m:sub>
            </m:sSub>
          </m:num>
          <m:den>
            <m:r>
              <w:rPr>
                <w:rFonts w:ascii="Cambria Math" w:hAnsi="Cambria Math"/>
                <w:szCs w:val="24"/>
              </w:rPr>
              <m:t>∂t</m:t>
            </m:r>
          </m:den>
        </m:f>
        <m:r>
          <w:rPr>
            <w:rFonts w:ascii="Cambria Math" w:hAnsi="Cambria Math"/>
            <w:szCs w:val="24"/>
          </w:rPr>
          <m:t>=</m:t>
        </m:r>
        <m:sSubSup>
          <m:sSubSupPr>
            <m:ctrlPr>
              <w:rPr>
                <w:rFonts w:ascii="Cambria Math" w:hAnsi="Cambria Math"/>
                <w:i/>
                <w:szCs w:val="24"/>
                <w:lang w:eastAsia="zh-CN"/>
              </w:rPr>
            </m:ctrlPr>
          </m:sSubSupPr>
          <m:e>
            <m:acc>
              <m:accPr>
                <m:chr m:val="̇"/>
                <m:ctrlPr>
                  <w:rPr>
                    <w:rFonts w:ascii="Cambria Math" w:hAnsi="Cambria Math"/>
                    <w:i/>
                    <w:szCs w:val="24"/>
                    <w:lang w:eastAsia="zh-CN"/>
                  </w:rPr>
                </m:ctrlPr>
              </m:accPr>
              <m:e>
                <m:r>
                  <w:rPr>
                    <w:rFonts w:ascii="Cambria Math" w:hAnsi="Cambria Math"/>
                    <w:szCs w:val="24"/>
                  </w:rPr>
                  <m:t>I</m:t>
                </m:r>
              </m:e>
            </m:acc>
          </m:e>
          <m:sub>
            <m:r>
              <w:rPr>
                <w:rFonts w:ascii="Cambria Math" w:hAnsi="Cambria Math"/>
                <w:szCs w:val="24"/>
              </w:rPr>
              <m:t>in</m:t>
            </m:r>
          </m:sub>
          <m:sup>
            <m:r>
              <w:rPr>
                <w:rFonts w:ascii="Cambria Math" w:hAnsi="Cambria Math"/>
                <w:szCs w:val="24"/>
              </w:rPr>
              <m:t>cp</m:t>
            </m:r>
          </m:sup>
        </m:sSubSup>
        <m:r>
          <w:rPr>
            <w:rFonts w:ascii="Cambria Math" w:hAnsi="Cambria Math"/>
            <w:szCs w:val="24"/>
          </w:rPr>
          <m:t>+</m:t>
        </m:r>
        <m:sSubSup>
          <m:sSubSupPr>
            <m:ctrlPr>
              <w:rPr>
                <w:rFonts w:ascii="Cambria Math" w:hAnsi="Cambria Math"/>
                <w:i/>
                <w:szCs w:val="24"/>
                <w:lang w:eastAsia="zh-CN"/>
              </w:rPr>
            </m:ctrlPr>
          </m:sSubSupPr>
          <m:e>
            <m:acc>
              <m:accPr>
                <m:chr m:val="̇"/>
                <m:ctrlPr>
                  <w:rPr>
                    <w:rFonts w:ascii="Cambria Math" w:hAnsi="Cambria Math"/>
                    <w:i/>
                    <w:szCs w:val="24"/>
                    <w:lang w:eastAsia="zh-CN"/>
                  </w:rPr>
                </m:ctrlPr>
              </m:accPr>
              <m:e>
                <m:r>
                  <w:rPr>
                    <w:rFonts w:ascii="Cambria Math" w:hAnsi="Cambria Math"/>
                    <w:szCs w:val="24"/>
                  </w:rPr>
                  <m:t>I</m:t>
                </m:r>
              </m:e>
            </m:acc>
          </m:e>
          <m:sub>
            <m:r>
              <w:rPr>
                <w:rFonts w:ascii="Cambria Math" w:hAnsi="Cambria Math"/>
                <w:szCs w:val="24"/>
              </w:rPr>
              <m:t>in</m:t>
            </m:r>
          </m:sub>
          <m:sup>
            <m:r>
              <w:rPr>
                <w:rFonts w:ascii="Cambria Math" w:hAnsi="Cambria Math"/>
                <w:szCs w:val="24"/>
              </w:rPr>
              <m:t>ep</m:t>
            </m:r>
          </m:sup>
        </m:sSubSup>
        <m:r>
          <w:rPr>
            <w:rFonts w:ascii="Cambria Math" w:hAnsi="Cambria Math"/>
            <w:szCs w:val="24"/>
          </w:rPr>
          <m:t>-</m:t>
        </m:r>
        <m:sSubSup>
          <m:sSubSupPr>
            <m:ctrlPr>
              <w:rPr>
                <w:rFonts w:ascii="Cambria Math" w:hAnsi="Cambria Math"/>
                <w:i/>
                <w:szCs w:val="24"/>
                <w:lang w:eastAsia="zh-CN"/>
              </w:rPr>
            </m:ctrlPr>
          </m:sSubSupPr>
          <m:e>
            <m:acc>
              <m:accPr>
                <m:chr m:val="̇"/>
                <m:ctrlPr>
                  <w:rPr>
                    <w:rFonts w:ascii="Cambria Math" w:hAnsi="Cambria Math"/>
                    <w:i/>
                    <w:szCs w:val="24"/>
                    <w:lang w:eastAsia="zh-CN"/>
                  </w:rPr>
                </m:ctrlPr>
              </m:accPr>
              <m:e>
                <m:r>
                  <w:rPr>
                    <w:rFonts w:ascii="Cambria Math" w:hAnsi="Cambria Math"/>
                    <w:szCs w:val="24"/>
                  </w:rPr>
                  <m:t>I</m:t>
                </m:r>
              </m:e>
            </m:acc>
          </m:e>
          <m:sub>
            <m:r>
              <w:rPr>
                <w:rFonts w:ascii="Cambria Math" w:hAnsi="Cambria Math"/>
                <w:szCs w:val="24"/>
              </w:rPr>
              <m:t>out</m:t>
            </m:r>
          </m:sub>
          <m:sup>
            <m:r>
              <w:rPr>
                <w:rFonts w:ascii="Cambria Math" w:hAnsi="Cambria Math"/>
                <w:szCs w:val="24"/>
              </w:rPr>
              <m:t>cp</m:t>
            </m:r>
          </m:sup>
        </m:sSubSup>
        <m:r>
          <w:rPr>
            <w:rFonts w:ascii="Cambria Math" w:hAnsi="Cambria Math"/>
            <w:szCs w:val="24"/>
          </w:rPr>
          <m:t>-</m:t>
        </m:r>
        <m:sSubSup>
          <m:sSubSupPr>
            <m:ctrlPr>
              <w:rPr>
                <w:rFonts w:ascii="Cambria Math" w:hAnsi="Cambria Math"/>
                <w:i/>
                <w:szCs w:val="24"/>
                <w:lang w:eastAsia="zh-CN"/>
              </w:rPr>
            </m:ctrlPr>
          </m:sSubSupPr>
          <m:e>
            <m:acc>
              <m:accPr>
                <m:chr m:val="̇"/>
                <m:ctrlPr>
                  <w:rPr>
                    <w:rFonts w:ascii="Cambria Math" w:hAnsi="Cambria Math"/>
                    <w:i/>
                    <w:szCs w:val="24"/>
                    <w:lang w:eastAsia="zh-CN"/>
                  </w:rPr>
                </m:ctrlPr>
              </m:accPr>
              <m:e>
                <m:r>
                  <w:rPr>
                    <w:rFonts w:ascii="Cambria Math" w:hAnsi="Cambria Math"/>
                    <w:szCs w:val="24"/>
                  </w:rPr>
                  <m:t>I</m:t>
                </m:r>
              </m:e>
            </m:acc>
          </m:e>
          <m:sub>
            <m:r>
              <w:rPr>
                <w:rFonts w:ascii="Cambria Math" w:hAnsi="Cambria Math"/>
                <w:szCs w:val="24"/>
              </w:rPr>
              <m:t>out</m:t>
            </m:r>
          </m:sub>
          <m:sup>
            <m:r>
              <w:rPr>
                <w:rFonts w:ascii="Cambria Math" w:hAnsi="Cambria Math"/>
                <w:szCs w:val="24"/>
              </w:rPr>
              <m:t>ep</m:t>
            </m:r>
          </m:sup>
        </m:sSubSup>
        <m:r>
          <w:rPr>
            <w:rFonts w:ascii="Cambria Math" w:hAnsi="Cambria Math"/>
            <w:szCs w:val="24"/>
          </w:rPr>
          <m:t>-</m:t>
        </m:r>
        <m:sSubSup>
          <m:sSubSupPr>
            <m:ctrlPr>
              <w:rPr>
                <w:rFonts w:ascii="Cambria Math" w:hAnsi="Cambria Math"/>
                <w:i/>
                <w:szCs w:val="24"/>
                <w:lang w:eastAsia="zh-CN"/>
              </w:rPr>
            </m:ctrlPr>
          </m:sSubSupPr>
          <m:e>
            <m:acc>
              <m:accPr>
                <m:chr m:val="̇"/>
                <m:ctrlPr>
                  <w:rPr>
                    <w:rFonts w:ascii="Cambria Math" w:hAnsi="Cambria Math"/>
                    <w:i/>
                    <w:szCs w:val="24"/>
                    <w:lang w:eastAsia="zh-CN"/>
                  </w:rPr>
                </m:ctrlPr>
              </m:accPr>
              <m:e>
                <m:r>
                  <w:rPr>
                    <w:rFonts w:ascii="Cambria Math" w:hAnsi="Cambria Math"/>
                    <w:szCs w:val="24"/>
                  </w:rPr>
                  <m:t>I</m:t>
                </m:r>
              </m:e>
            </m:acc>
          </m:e>
          <m:sub>
            <m:r>
              <w:rPr>
                <w:rFonts w:ascii="Cambria Math" w:hAnsi="Cambria Math"/>
                <w:szCs w:val="24"/>
              </w:rPr>
              <m:t>we</m:t>
            </m:r>
          </m:sub>
          <m:sup>
            <m:r>
              <w:rPr>
                <w:rFonts w:ascii="Cambria Math" w:hAnsi="Cambria Math"/>
                <w:szCs w:val="24"/>
              </w:rPr>
              <m:t>cp</m:t>
            </m:r>
          </m:sup>
        </m:sSubSup>
        <m:r>
          <w:rPr>
            <w:rFonts w:ascii="Cambria Math" w:hAnsi="Cambria Math"/>
            <w:szCs w:val="24"/>
          </w:rPr>
          <m:t>-</m:t>
        </m:r>
        <m:sSubSup>
          <m:sSubSupPr>
            <m:ctrlPr>
              <w:rPr>
                <w:rFonts w:ascii="Cambria Math" w:hAnsi="Cambria Math"/>
                <w:i/>
                <w:szCs w:val="24"/>
                <w:lang w:eastAsia="zh-CN"/>
              </w:rPr>
            </m:ctrlPr>
          </m:sSubSupPr>
          <m:e>
            <m:acc>
              <m:accPr>
                <m:chr m:val="̇"/>
                <m:ctrlPr>
                  <w:rPr>
                    <w:rFonts w:ascii="Cambria Math" w:hAnsi="Cambria Math"/>
                    <w:i/>
                    <w:szCs w:val="24"/>
                    <w:lang w:eastAsia="zh-CN"/>
                  </w:rPr>
                </m:ctrlPr>
              </m:accPr>
              <m:e>
                <m:r>
                  <w:rPr>
                    <w:rFonts w:ascii="Cambria Math" w:hAnsi="Cambria Math"/>
                    <w:szCs w:val="24"/>
                  </w:rPr>
                  <m:t>I</m:t>
                </m:r>
              </m:e>
            </m:acc>
          </m:e>
          <m:sub>
            <m:r>
              <w:rPr>
                <w:rFonts w:ascii="Cambria Math" w:hAnsi="Cambria Math"/>
                <w:szCs w:val="24"/>
              </w:rPr>
              <m:t>we</m:t>
            </m:r>
          </m:sub>
          <m:sup>
            <m:r>
              <w:rPr>
                <w:rFonts w:ascii="Cambria Math" w:hAnsi="Cambria Math"/>
                <w:szCs w:val="24"/>
              </w:rPr>
              <m:t>ep</m:t>
            </m:r>
          </m:sup>
        </m:sSubSup>
        <m:r>
          <w:rPr>
            <w:rFonts w:ascii="Cambria Math" w:hAnsi="Cambria Math"/>
            <w:szCs w:val="24"/>
          </w:rPr>
          <m:t>+</m:t>
        </m:r>
        <m:sSubSup>
          <m:sSubSupPr>
            <m:ctrlPr>
              <w:rPr>
                <w:rFonts w:ascii="Cambria Math" w:hAnsi="Cambria Math"/>
                <w:i/>
                <w:szCs w:val="24"/>
                <w:lang w:eastAsia="zh-CN"/>
              </w:rPr>
            </m:ctrlPr>
          </m:sSubSupPr>
          <m:e>
            <m:acc>
              <m:accPr>
                <m:chr m:val="̇"/>
                <m:ctrlPr>
                  <w:rPr>
                    <w:rFonts w:ascii="Cambria Math" w:hAnsi="Cambria Math"/>
                    <w:i/>
                    <w:szCs w:val="24"/>
                    <w:lang w:eastAsia="zh-CN"/>
                  </w:rPr>
                </m:ctrlPr>
              </m:accPr>
              <m:e>
                <m:r>
                  <w:rPr>
                    <w:rFonts w:ascii="Cambria Math" w:hAnsi="Cambria Math"/>
                    <w:szCs w:val="24"/>
                  </w:rPr>
                  <m:t>I</m:t>
                </m:r>
              </m:e>
            </m:acc>
          </m:e>
          <m:sub>
            <m:r>
              <w:rPr>
                <w:rFonts w:ascii="Cambria Math" w:hAnsi="Cambria Math"/>
                <w:szCs w:val="24"/>
              </w:rPr>
              <m:t>gen</m:t>
            </m:r>
          </m:sub>
          <m:sup>
            <m:r>
              <w:rPr>
                <w:rFonts w:ascii="Cambria Math" w:hAnsi="Cambria Math"/>
                <w:szCs w:val="24"/>
              </w:rPr>
              <m:t>syst</m:t>
            </m:r>
          </m:sup>
        </m:sSubSup>
      </m:oMath>
      <w:r w:rsidR="007C30B4" w:rsidRPr="00AA0F76">
        <w:rPr>
          <w:szCs w:val="24"/>
          <w:lang w:eastAsia="zh-CN"/>
        </w:rPr>
        <w:tab/>
      </w:r>
      <w:r w:rsidR="007C30B4" w:rsidRPr="00AA0F76">
        <w:rPr>
          <w:szCs w:val="24"/>
          <w:lang w:eastAsia="zh-CN"/>
        </w:rPr>
        <w:tab/>
        <w:t>(3)</w:t>
      </w:r>
    </w:p>
    <w:p w:rsidR="007C30B4" w:rsidRPr="00AA0F76" w:rsidRDefault="007C30B4" w:rsidP="007C30B4">
      <w:pPr>
        <w:rPr>
          <w:szCs w:val="24"/>
        </w:rPr>
      </w:pPr>
      <w:r w:rsidRPr="00AA0F76">
        <w:rPr>
          <w:szCs w:val="24"/>
        </w:rPr>
        <w:t xml:space="preserve">Where </w:t>
      </w:r>
      <m:oMath>
        <m:sSub>
          <m:sSubPr>
            <m:ctrlPr>
              <w:rPr>
                <w:rFonts w:ascii="Cambria Math" w:hAnsi="Cambria Math"/>
                <w:i/>
                <w:szCs w:val="24"/>
                <w:lang w:eastAsia="zh-CN"/>
              </w:rPr>
            </m:ctrlPr>
          </m:sSubPr>
          <m:e>
            <m:r>
              <w:rPr>
                <w:rFonts w:ascii="Cambria Math" w:hAnsi="Cambria Math"/>
                <w:szCs w:val="24"/>
              </w:rPr>
              <m:t>I</m:t>
            </m:r>
          </m:e>
          <m:sub>
            <m:r>
              <w:rPr>
                <w:rFonts w:ascii="Cambria Math" w:hAnsi="Cambria Math"/>
                <w:szCs w:val="24"/>
              </w:rPr>
              <m:t>syst</m:t>
            </m:r>
          </m:sub>
        </m:sSub>
      </m:oMath>
      <w:r w:rsidRPr="00AA0F76">
        <w:rPr>
          <w:szCs w:val="24"/>
        </w:rPr>
        <w:t xml:space="preserve"> is the amount of potential environmental impact inside the system (chemical process plus energy generation process), </w:t>
      </w:r>
      <m:oMath>
        <m:sSubSup>
          <m:sSubSupPr>
            <m:ctrlPr>
              <w:rPr>
                <w:rFonts w:ascii="Cambria Math" w:hAnsi="Cambria Math"/>
                <w:i/>
                <w:szCs w:val="24"/>
                <w:lang w:eastAsia="zh-CN"/>
              </w:rPr>
            </m:ctrlPr>
          </m:sSubSupPr>
          <m:e>
            <m:acc>
              <m:accPr>
                <m:chr m:val="̇"/>
                <m:ctrlPr>
                  <w:rPr>
                    <w:rFonts w:ascii="Cambria Math" w:hAnsi="Cambria Math"/>
                    <w:i/>
                    <w:szCs w:val="24"/>
                    <w:lang w:eastAsia="zh-CN"/>
                  </w:rPr>
                </m:ctrlPr>
              </m:accPr>
              <m:e>
                <m:r>
                  <w:rPr>
                    <w:rFonts w:ascii="Cambria Math" w:hAnsi="Cambria Math"/>
                    <w:szCs w:val="24"/>
                  </w:rPr>
                  <m:t>I</m:t>
                </m:r>
              </m:e>
            </m:acc>
          </m:e>
          <m:sub>
            <m:r>
              <w:rPr>
                <w:rFonts w:ascii="Cambria Math" w:hAnsi="Cambria Math"/>
                <w:szCs w:val="24"/>
              </w:rPr>
              <m:t>in</m:t>
            </m:r>
          </m:sub>
          <m:sup>
            <m:r>
              <w:rPr>
                <w:rFonts w:ascii="Cambria Math" w:hAnsi="Cambria Math"/>
                <w:szCs w:val="24"/>
              </w:rPr>
              <m:t>cp</m:t>
            </m:r>
          </m:sup>
        </m:sSubSup>
      </m:oMath>
      <w:r w:rsidRPr="00AA0F76">
        <w:rPr>
          <w:szCs w:val="24"/>
        </w:rPr>
        <w:t xml:space="preserve"> and </w:t>
      </w:r>
      <m:oMath>
        <m:sSubSup>
          <m:sSubSupPr>
            <m:ctrlPr>
              <w:rPr>
                <w:rFonts w:ascii="Cambria Math" w:hAnsi="Cambria Math"/>
                <w:i/>
                <w:szCs w:val="24"/>
                <w:lang w:eastAsia="zh-CN"/>
              </w:rPr>
            </m:ctrlPr>
          </m:sSubSupPr>
          <m:e>
            <m:acc>
              <m:accPr>
                <m:chr m:val="̇"/>
                <m:ctrlPr>
                  <w:rPr>
                    <w:rFonts w:ascii="Cambria Math" w:hAnsi="Cambria Math"/>
                    <w:i/>
                    <w:szCs w:val="24"/>
                    <w:lang w:eastAsia="zh-CN"/>
                  </w:rPr>
                </m:ctrlPr>
              </m:accPr>
              <m:e>
                <m:r>
                  <w:rPr>
                    <w:rFonts w:ascii="Cambria Math" w:hAnsi="Cambria Math"/>
                    <w:szCs w:val="24"/>
                  </w:rPr>
                  <m:t>I</m:t>
                </m:r>
              </m:e>
            </m:acc>
          </m:e>
          <m:sub>
            <m:r>
              <w:rPr>
                <w:rFonts w:ascii="Cambria Math" w:hAnsi="Cambria Math"/>
                <w:szCs w:val="24"/>
              </w:rPr>
              <m:t>out</m:t>
            </m:r>
          </m:sub>
          <m:sup>
            <m:r>
              <w:rPr>
                <w:rFonts w:ascii="Cambria Math" w:hAnsi="Cambria Math"/>
                <w:szCs w:val="24"/>
              </w:rPr>
              <m:t>cp</m:t>
            </m:r>
          </m:sup>
        </m:sSubSup>
      </m:oMath>
      <w:r w:rsidRPr="00AA0F76">
        <w:rPr>
          <w:szCs w:val="24"/>
        </w:rPr>
        <w:t xml:space="preserve"> are the input and output rates of potential environmental impact to the chemical process, </w:t>
      </w:r>
      <m:oMath>
        <m:sSubSup>
          <m:sSubSupPr>
            <m:ctrlPr>
              <w:rPr>
                <w:rFonts w:ascii="Cambria Math" w:hAnsi="Cambria Math"/>
                <w:i/>
                <w:szCs w:val="24"/>
                <w:lang w:eastAsia="zh-CN"/>
              </w:rPr>
            </m:ctrlPr>
          </m:sSubSupPr>
          <m:e>
            <m:acc>
              <m:accPr>
                <m:chr m:val="̇"/>
                <m:ctrlPr>
                  <w:rPr>
                    <w:rFonts w:ascii="Cambria Math" w:hAnsi="Cambria Math"/>
                    <w:i/>
                    <w:szCs w:val="24"/>
                    <w:lang w:eastAsia="zh-CN"/>
                  </w:rPr>
                </m:ctrlPr>
              </m:accPr>
              <m:e>
                <m:r>
                  <w:rPr>
                    <w:rFonts w:ascii="Cambria Math" w:hAnsi="Cambria Math"/>
                    <w:szCs w:val="24"/>
                  </w:rPr>
                  <m:t>I</m:t>
                </m:r>
              </m:e>
            </m:acc>
          </m:e>
          <m:sub>
            <m:r>
              <w:rPr>
                <w:rFonts w:ascii="Cambria Math" w:hAnsi="Cambria Math"/>
                <w:szCs w:val="24"/>
              </w:rPr>
              <m:t>in</m:t>
            </m:r>
          </m:sub>
          <m:sup>
            <m:r>
              <w:rPr>
                <w:rFonts w:ascii="Cambria Math" w:hAnsi="Cambria Math"/>
                <w:szCs w:val="24"/>
              </w:rPr>
              <m:t>ep</m:t>
            </m:r>
          </m:sup>
        </m:sSubSup>
      </m:oMath>
      <w:r w:rsidRPr="00AA0F76">
        <w:rPr>
          <w:szCs w:val="24"/>
        </w:rPr>
        <w:t xml:space="preserve"> and </w:t>
      </w:r>
      <m:oMath>
        <m:sSubSup>
          <m:sSubSupPr>
            <m:ctrlPr>
              <w:rPr>
                <w:rFonts w:ascii="Cambria Math" w:hAnsi="Cambria Math"/>
                <w:i/>
                <w:szCs w:val="24"/>
                <w:lang w:eastAsia="zh-CN"/>
              </w:rPr>
            </m:ctrlPr>
          </m:sSubSupPr>
          <m:e>
            <m:acc>
              <m:accPr>
                <m:chr m:val="̇"/>
                <m:ctrlPr>
                  <w:rPr>
                    <w:rFonts w:ascii="Cambria Math" w:hAnsi="Cambria Math"/>
                    <w:i/>
                    <w:szCs w:val="24"/>
                    <w:lang w:eastAsia="zh-CN"/>
                  </w:rPr>
                </m:ctrlPr>
              </m:accPr>
              <m:e>
                <m:r>
                  <w:rPr>
                    <w:rFonts w:ascii="Cambria Math" w:hAnsi="Cambria Math"/>
                    <w:szCs w:val="24"/>
                  </w:rPr>
                  <m:t>I</m:t>
                </m:r>
              </m:e>
            </m:acc>
          </m:e>
          <m:sub>
            <m:r>
              <w:rPr>
                <w:rFonts w:ascii="Cambria Math" w:hAnsi="Cambria Math"/>
                <w:szCs w:val="24"/>
              </w:rPr>
              <m:t>out</m:t>
            </m:r>
          </m:sub>
          <m:sup>
            <m:r>
              <w:rPr>
                <w:rFonts w:ascii="Cambria Math" w:hAnsi="Cambria Math"/>
                <w:szCs w:val="24"/>
              </w:rPr>
              <m:t>ep</m:t>
            </m:r>
          </m:sup>
        </m:sSubSup>
      </m:oMath>
      <w:r w:rsidRPr="00AA0F76">
        <w:rPr>
          <w:szCs w:val="24"/>
        </w:rPr>
        <w:t xml:space="preserve"> are the input and output rates of potential environmental impact to the energy generation process, </w:t>
      </w:r>
      <m:oMath>
        <m:sSubSup>
          <m:sSubSupPr>
            <m:ctrlPr>
              <w:rPr>
                <w:rFonts w:ascii="Cambria Math" w:hAnsi="Cambria Math"/>
                <w:i/>
                <w:szCs w:val="24"/>
                <w:lang w:eastAsia="zh-CN"/>
              </w:rPr>
            </m:ctrlPr>
          </m:sSubSupPr>
          <m:e>
            <m:acc>
              <m:accPr>
                <m:chr m:val="̇"/>
                <m:ctrlPr>
                  <w:rPr>
                    <w:rFonts w:ascii="Cambria Math" w:hAnsi="Cambria Math"/>
                    <w:i/>
                    <w:szCs w:val="24"/>
                    <w:lang w:eastAsia="zh-CN"/>
                  </w:rPr>
                </m:ctrlPr>
              </m:accPr>
              <m:e>
                <m:r>
                  <w:rPr>
                    <w:rFonts w:ascii="Cambria Math" w:hAnsi="Cambria Math"/>
                    <w:szCs w:val="24"/>
                  </w:rPr>
                  <m:t>I</m:t>
                </m:r>
              </m:e>
            </m:acc>
          </m:e>
          <m:sub>
            <m:r>
              <w:rPr>
                <w:rFonts w:ascii="Cambria Math" w:hAnsi="Cambria Math"/>
                <w:szCs w:val="24"/>
              </w:rPr>
              <m:t>we</m:t>
            </m:r>
          </m:sub>
          <m:sup>
            <m:r>
              <w:rPr>
                <w:rFonts w:ascii="Cambria Math" w:hAnsi="Cambria Math"/>
                <w:szCs w:val="24"/>
              </w:rPr>
              <m:t>cp</m:t>
            </m:r>
          </m:sup>
        </m:sSubSup>
      </m:oMath>
      <w:r w:rsidRPr="00AA0F76">
        <w:rPr>
          <w:szCs w:val="24"/>
        </w:rPr>
        <w:t xml:space="preserve"> and </w:t>
      </w:r>
      <m:oMath>
        <m:sSubSup>
          <m:sSubSupPr>
            <m:ctrlPr>
              <w:rPr>
                <w:rFonts w:ascii="Cambria Math" w:hAnsi="Cambria Math"/>
                <w:i/>
                <w:szCs w:val="24"/>
                <w:lang w:eastAsia="zh-CN"/>
              </w:rPr>
            </m:ctrlPr>
          </m:sSubSupPr>
          <m:e>
            <m:acc>
              <m:accPr>
                <m:chr m:val="̇"/>
                <m:ctrlPr>
                  <w:rPr>
                    <w:rFonts w:ascii="Cambria Math" w:hAnsi="Cambria Math"/>
                    <w:i/>
                    <w:szCs w:val="24"/>
                    <w:lang w:eastAsia="zh-CN"/>
                  </w:rPr>
                </m:ctrlPr>
              </m:accPr>
              <m:e>
                <m:r>
                  <w:rPr>
                    <w:rFonts w:ascii="Cambria Math" w:hAnsi="Cambria Math"/>
                    <w:szCs w:val="24"/>
                  </w:rPr>
                  <m:t>I</m:t>
                </m:r>
              </m:e>
            </m:acc>
          </m:e>
          <m:sub>
            <m:r>
              <w:rPr>
                <w:rFonts w:ascii="Cambria Math" w:hAnsi="Cambria Math"/>
                <w:szCs w:val="24"/>
              </w:rPr>
              <m:t>we</m:t>
            </m:r>
          </m:sub>
          <m:sup>
            <m:r>
              <w:rPr>
                <w:rFonts w:ascii="Cambria Math" w:hAnsi="Cambria Math"/>
                <w:szCs w:val="24"/>
              </w:rPr>
              <m:t>ep</m:t>
            </m:r>
          </m:sup>
        </m:sSubSup>
      </m:oMath>
      <w:r w:rsidRPr="00AA0F76">
        <w:rPr>
          <w:szCs w:val="24"/>
        </w:rPr>
        <w:t xml:space="preserve"> are the outputs of potential environmental impact associated with waste energy (denoted by the subscript we) lost from the chemical process and the energy generation process, and where </w:t>
      </w:r>
      <m:oMath>
        <m:sSubSup>
          <m:sSubSupPr>
            <m:ctrlPr>
              <w:rPr>
                <w:rFonts w:ascii="Cambria Math" w:hAnsi="Cambria Math"/>
                <w:i/>
                <w:szCs w:val="24"/>
                <w:lang w:eastAsia="zh-CN"/>
              </w:rPr>
            </m:ctrlPr>
          </m:sSubSupPr>
          <m:e>
            <m:acc>
              <m:accPr>
                <m:chr m:val="̇"/>
                <m:ctrlPr>
                  <w:rPr>
                    <w:rFonts w:ascii="Cambria Math" w:hAnsi="Cambria Math"/>
                    <w:i/>
                    <w:szCs w:val="24"/>
                    <w:lang w:eastAsia="zh-CN"/>
                  </w:rPr>
                </m:ctrlPr>
              </m:accPr>
              <m:e>
                <m:r>
                  <w:rPr>
                    <w:rFonts w:ascii="Cambria Math" w:hAnsi="Cambria Math"/>
                    <w:szCs w:val="24"/>
                  </w:rPr>
                  <m:t>I</m:t>
                </m:r>
              </m:e>
            </m:acc>
          </m:e>
          <m:sub>
            <m:r>
              <w:rPr>
                <w:rFonts w:ascii="Cambria Math" w:hAnsi="Cambria Math"/>
                <w:szCs w:val="24"/>
              </w:rPr>
              <m:t>gen</m:t>
            </m:r>
          </m:sub>
          <m:sup>
            <m:r>
              <w:rPr>
                <w:rFonts w:ascii="Cambria Math" w:hAnsi="Cambria Math"/>
                <w:szCs w:val="24"/>
              </w:rPr>
              <m:t>syst</m:t>
            </m:r>
          </m:sup>
        </m:sSubSup>
      </m:oMath>
      <w:r w:rsidRPr="00AA0F76">
        <w:rPr>
          <w:szCs w:val="24"/>
        </w:rPr>
        <w:t xml:space="preserve"> is the rate of generation of potential environmental impact inside the system.</w:t>
      </w:r>
    </w:p>
    <w:p w:rsidR="00600204" w:rsidRPr="00AA0F76" w:rsidRDefault="00600204" w:rsidP="00BC541D">
      <w:pPr>
        <w:pStyle w:val="Default"/>
        <w:spacing w:after="200"/>
        <w:ind w:firstLine="720"/>
        <w:jc w:val="both"/>
        <w:rPr>
          <w:rFonts w:asciiTheme="minorHAnsi" w:hAnsiTheme="minorHAnsi"/>
          <w:sz w:val="22"/>
          <w:lang w:eastAsia="zh-CN"/>
        </w:rPr>
      </w:pPr>
      <w:r w:rsidRPr="00AA0F76">
        <w:rPr>
          <w:rFonts w:asciiTheme="minorHAnsi" w:hAnsiTheme="minorHAnsi"/>
          <w:sz w:val="22"/>
          <w:lang w:eastAsia="zh-CN"/>
        </w:rPr>
        <w:t xml:space="preserve">There are </w:t>
      </w:r>
      <w:r w:rsidRPr="00AA0F76">
        <w:rPr>
          <w:rFonts w:asciiTheme="minorHAnsi" w:hAnsiTheme="minorHAnsi"/>
          <w:sz w:val="22"/>
        </w:rPr>
        <w:t>other environment impact assessment methods</w:t>
      </w:r>
      <w:r w:rsidRPr="00AA0F76">
        <w:rPr>
          <w:rFonts w:asciiTheme="minorHAnsi" w:hAnsiTheme="minorHAnsi"/>
          <w:sz w:val="22"/>
          <w:lang w:eastAsia="zh-CN"/>
        </w:rPr>
        <w:t xml:space="preserve"> </w:t>
      </w:r>
      <w:r w:rsidRPr="00AA0F76">
        <w:rPr>
          <w:rFonts w:asciiTheme="minorHAnsi" w:hAnsiTheme="minorHAnsi"/>
          <w:sz w:val="22"/>
        </w:rPr>
        <w:t>available, such as the TRACI method (from EPA)</w:t>
      </w:r>
      <w:r w:rsidR="0096692E" w:rsidRPr="00AA0F76">
        <w:rPr>
          <w:rFonts w:asciiTheme="minorHAnsi" w:hAnsiTheme="minorHAnsi"/>
          <w:sz w:val="22"/>
        </w:rPr>
        <w:t xml:space="preserve"> [4]</w:t>
      </w:r>
      <w:r w:rsidR="00A13B47" w:rsidRPr="00AA0F76">
        <w:rPr>
          <w:rFonts w:asciiTheme="minorHAnsi" w:hAnsiTheme="minorHAnsi"/>
          <w:sz w:val="22"/>
          <w:lang w:eastAsia="zh-CN"/>
        </w:rPr>
        <w:t xml:space="preserve"> (http://www.earthshift.com/software/simapro/traci2)</w:t>
      </w:r>
      <w:r w:rsidRPr="00AA0F76">
        <w:rPr>
          <w:rFonts w:asciiTheme="minorHAnsi" w:hAnsiTheme="minorHAnsi"/>
          <w:sz w:val="22"/>
        </w:rPr>
        <w:t>, RECIPE method</w:t>
      </w:r>
      <w:r w:rsidR="00A13B47" w:rsidRPr="00AA0F76">
        <w:rPr>
          <w:rFonts w:asciiTheme="minorHAnsi" w:hAnsiTheme="minorHAnsi"/>
          <w:sz w:val="22"/>
          <w:lang w:eastAsia="zh-CN"/>
        </w:rPr>
        <w:t xml:space="preserve"> </w:t>
      </w:r>
      <w:r w:rsidR="0096692E" w:rsidRPr="00AA0F76">
        <w:rPr>
          <w:rFonts w:asciiTheme="minorHAnsi" w:hAnsiTheme="minorHAnsi"/>
          <w:sz w:val="22"/>
          <w:lang w:eastAsia="zh-CN"/>
        </w:rPr>
        <w:t>[5]</w:t>
      </w:r>
      <w:r w:rsidR="00A13B47" w:rsidRPr="00AA0F76">
        <w:rPr>
          <w:rFonts w:asciiTheme="minorHAnsi" w:hAnsiTheme="minorHAnsi"/>
          <w:sz w:val="22"/>
          <w:lang w:eastAsia="zh-CN"/>
        </w:rPr>
        <w:t>(http://lcia-recipe.net/)</w:t>
      </w:r>
      <w:r w:rsidRPr="00AA0F76">
        <w:rPr>
          <w:rFonts w:asciiTheme="minorHAnsi" w:hAnsiTheme="minorHAnsi"/>
          <w:sz w:val="22"/>
        </w:rPr>
        <w:t xml:space="preserve">, EcoTox method </w:t>
      </w:r>
      <w:r w:rsidR="0096692E" w:rsidRPr="00AA0F76">
        <w:rPr>
          <w:rFonts w:asciiTheme="minorHAnsi" w:hAnsiTheme="minorHAnsi"/>
          <w:sz w:val="22"/>
        </w:rPr>
        <w:t>[6]</w:t>
      </w:r>
      <w:r w:rsidR="00A13B47" w:rsidRPr="00AA0F76">
        <w:rPr>
          <w:rFonts w:asciiTheme="minorHAnsi" w:hAnsiTheme="minorHAnsi"/>
          <w:sz w:val="22"/>
          <w:lang w:eastAsia="zh-CN"/>
        </w:rPr>
        <w:t xml:space="preserve">(http://www.epa.gov/med/Prods_Pubs/ecotox.htm) </w:t>
      </w:r>
      <w:r w:rsidRPr="00AA0F76">
        <w:rPr>
          <w:rFonts w:asciiTheme="minorHAnsi" w:hAnsiTheme="minorHAnsi"/>
          <w:sz w:val="22"/>
        </w:rPr>
        <w:t>etc.</w:t>
      </w:r>
      <w:r w:rsidRPr="00AA0F76">
        <w:rPr>
          <w:rFonts w:asciiTheme="minorHAnsi" w:hAnsiTheme="minorHAnsi"/>
          <w:sz w:val="22"/>
          <w:lang w:eastAsia="zh-CN"/>
        </w:rPr>
        <w:t xml:space="preserve"> It is up to the user to decide which method to choose.</w:t>
      </w:r>
    </w:p>
    <w:p w:rsidR="00BC541D" w:rsidRPr="00AA0F76" w:rsidRDefault="00BC541D" w:rsidP="00740D93">
      <w:pPr>
        <w:pStyle w:val="Default"/>
        <w:spacing w:after="200"/>
        <w:ind w:firstLine="720"/>
        <w:rPr>
          <w:rFonts w:asciiTheme="minorHAnsi" w:hAnsiTheme="minorHAnsi"/>
          <w:sz w:val="22"/>
          <w:szCs w:val="22"/>
          <w:lang w:eastAsia="zh-CN"/>
        </w:rPr>
      </w:pPr>
      <w:r w:rsidRPr="00AA0F76">
        <w:rPr>
          <w:rFonts w:asciiTheme="minorHAnsi" w:hAnsiTheme="minorHAnsi"/>
          <w:b/>
          <w:bCs/>
        </w:rPr>
        <w:t xml:space="preserve">Social Criteria: </w:t>
      </w:r>
      <w:r w:rsidRPr="00AA0F76">
        <w:rPr>
          <w:rFonts w:asciiTheme="minorHAnsi" w:hAnsiTheme="minorHAnsi"/>
          <w:sz w:val="22"/>
          <w:szCs w:val="22"/>
        </w:rPr>
        <w:t>Indicators of social sustainability should reflect the company’s treatment of its employees, suppliers, contractors and customers. In the early design stage, safety is the most appropriate indicator. Since established methods like HAZOP require detailed information like P&amp;IDs, inherent safety [</w:t>
      </w:r>
      <w:r w:rsidR="0096692E" w:rsidRPr="00AA0F76">
        <w:rPr>
          <w:rFonts w:asciiTheme="minorHAnsi" w:hAnsiTheme="minorHAnsi"/>
          <w:sz w:val="22"/>
          <w:szCs w:val="22"/>
        </w:rPr>
        <w:t>7</w:t>
      </w:r>
      <w:r w:rsidRPr="00AA0F76">
        <w:rPr>
          <w:rFonts w:asciiTheme="minorHAnsi" w:hAnsiTheme="minorHAnsi"/>
          <w:sz w:val="22"/>
          <w:szCs w:val="22"/>
        </w:rPr>
        <w:t>-</w:t>
      </w:r>
      <w:r w:rsidR="0096692E" w:rsidRPr="00AA0F76">
        <w:rPr>
          <w:rFonts w:asciiTheme="minorHAnsi" w:hAnsiTheme="minorHAnsi"/>
          <w:sz w:val="22"/>
          <w:szCs w:val="22"/>
        </w:rPr>
        <w:t>10</w:t>
      </w:r>
      <w:r w:rsidRPr="00AA0F76">
        <w:rPr>
          <w:rFonts w:asciiTheme="minorHAnsi" w:hAnsiTheme="minorHAnsi"/>
          <w:sz w:val="22"/>
          <w:szCs w:val="22"/>
        </w:rPr>
        <w:t>] is used as the criterion to judge the social impact of a chemical production process in the early design stage. The Inherent Safety Index is the sum of chemical and process safety index. Chemical safety index considers flammability, explosiveness, toxicity, corrosiveness and quantity of all chemicals involved in the process. Process safety considers safety score and quantity of process equipment. The scores breakdown is shown in the tables</w:t>
      </w:r>
      <w:r w:rsidR="00CA06CD" w:rsidRPr="00AA0F76">
        <w:rPr>
          <w:rFonts w:asciiTheme="minorHAnsi" w:hAnsiTheme="minorHAnsi"/>
          <w:sz w:val="22"/>
          <w:szCs w:val="22"/>
          <w:lang w:eastAsia="zh-CN"/>
        </w:rPr>
        <w:t xml:space="preserve"> in the Appendix</w:t>
      </w:r>
      <w:r w:rsidR="00C73485" w:rsidRPr="00AA0F76">
        <w:rPr>
          <w:rFonts w:asciiTheme="minorHAnsi" w:hAnsiTheme="minorHAnsi"/>
          <w:sz w:val="22"/>
          <w:szCs w:val="22"/>
          <w:lang w:eastAsia="zh-CN"/>
        </w:rPr>
        <w:t xml:space="preserve"> 2</w:t>
      </w:r>
      <w:r w:rsidRPr="00AA0F76">
        <w:rPr>
          <w:rFonts w:asciiTheme="minorHAnsi" w:hAnsiTheme="minorHAnsi"/>
          <w:sz w:val="22"/>
          <w:szCs w:val="22"/>
        </w:rPr>
        <w:t xml:space="preserve">. </w:t>
      </w:r>
    </w:p>
    <w:p w:rsidR="00740D93" w:rsidRPr="00AA0F76" w:rsidRDefault="00740D93">
      <w:pPr>
        <w:rPr>
          <w:b/>
          <w:sz w:val="24"/>
        </w:rPr>
      </w:pPr>
    </w:p>
    <w:p w:rsidR="00740D93" w:rsidRPr="00AA0F76" w:rsidRDefault="00740D93">
      <w:pPr>
        <w:rPr>
          <w:b/>
          <w:sz w:val="24"/>
        </w:rPr>
      </w:pPr>
    </w:p>
    <w:p w:rsidR="00252D46" w:rsidRPr="00AA0F76" w:rsidRDefault="00252D46">
      <w:pPr>
        <w:rPr>
          <w:b/>
          <w:sz w:val="24"/>
        </w:rPr>
      </w:pPr>
      <w:r w:rsidRPr="00AA0F76">
        <w:rPr>
          <w:b/>
          <w:sz w:val="24"/>
        </w:rPr>
        <w:lastRenderedPageBreak/>
        <w:t>Connections to Existing Core Curriculum</w:t>
      </w:r>
    </w:p>
    <w:p w:rsidR="00FE61F8" w:rsidRPr="00AA0F76" w:rsidRDefault="00FE61F8" w:rsidP="00740D93">
      <w:pPr>
        <w:spacing w:line="240" w:lineRule="auto"/>
        <w:rPr>
          <w:lang w:eastAsia="zh-CN"/>
        </w:rPr>
      </w:pPr>
      <w:r w:rsidRPr="00AA0F76">
        <w:rPr>
          <w:lang w:eastAsia="zh-CN"/>
        </w:rPr>
        <w:t>R</w:t>
      </w:r>
      <w:r w:rsidRPr="00AA0F76">
        <w:t>oot cause analysis method is currently taught in quality control courses, while the economic, environmental and social aspects of sustainability assessment are individually taught in Engineering Economics, Environmental Sciences and Process Safety courses respectively.</w:t>
      </w:r>
      <w:r w:rsidR="00DD4E69" w:rsidRPr="00AA0F76">
        <w:rPr>
          <w:lang w:eastAsia="zh-CN"/>
        </w:rPr>
        <w:t xml:space="preserve"> This module can be used in a Process Analysis or Process Design course in undergraduate curriculum, or in a graduate level course.</w:t>
      </w:r>
    </w:p>
    <w:p w:rsidR="003855F7" w:rsidRPr="00AA0F76" w:rsidRDefault="003855F7" w:rsidP="00252D46">
      <w:pPr>
        <w:rPr>
          <w:b/>
          <w:sz w:val="24"/>
        </w:rPr>
      </w:pPr>
      <w:r w:rsidRPr="00AA0F76">
        <w:rPr>
          <w:b/>
          <w:sz w:val="24"/>
        </w:rPr>
        <w:t>Case Study</w:t>
      </w:r>
    </w:p>
    <w:p w:rsidR="0070222F" w:rsidRPr="00AA0F76" w:rsidRDefault="0070222F" w:rsidP="00740D93">
      <w:pPr>
        <w:pStyle w:val="ListParagraph"/>
        <w:numPr>
          <w:ilvl w:val="0"/>
          <w:numId w:val="1"/>
        </w:numPr>
      </w:pPr>
      <w:r w:rsidRPr="00AA0F76">
        <w:t>SRCA for Biodiesel Production Process</w:t>
      </w:r>
    </w:p>
    <w:p w:rsidR="0070222F" w:rsidRPr="00AA0F76" w:rsidRDefault="0070222F" w:rsidP="00740D93">
      <w:pPr>
        <w:pStyle w:val="ListParagraph"/>
        <w:numPr>
          <w:ilvl w:val="0"/>
          <w:numId w:val="1"/>
        </w:numPr>
      </w:pPr>
      <w:r w:rsidRPr="00AA0F76">
        <w:t xml:space="preserve">A steam methane reforming </w:t>
      </w:r>
      <w:r w:rsidR="000B4313" w:rsidRPr="00AA0F76">
        <w:t>P</w:t>
      </w:r>
      <w:r w:rsidRPr="00AA0F76">
        <w:t xml:space="preserve">rocess </w:t>
      </w:r>
    </w:p>
    <w:p w:rsidR="0070222F" w:rsidRPr="00AA0F76" w:rsidRDefault="000B4313" w:rsidP="00740D93">
      <w:pPr>
        <w:pStyle w:val="ListParagraph"/>
        <w:numPr>
          <w:ilvl w:val="0"/>
          <w:numId w:val="1"/>
        </w:numPr>
      </w:pPr>
      <w:r w:rsidRPr="00AA0F76">
        <w:t>A polygeneration P</w:t>
      </w:r>
      <w:r w:rsidR="0070222F" w:rsidRPr="00AA0F76">
        <w:t xml:space="preserve">rocess </w:t>
      </w:r>
    </w:p>
    <w:p w:rsidR="0070222F" w:rsidRPr="00AA0F76" w:rsidRDefault="0070222F" w:rsidP="00740D93">
      <w:pPr>
        <w:pStyle w:val="ListParagraph"/>
        <w:numPr>
          <w:ilvl w:val="0"/>
          <w:numId w:val="1"/>
        </w:numPr>
      </w:pPr>
      <w:r w:rsidRPr="00AA0F76">
        <w:t xml:space="preserve">SRCA of a LNG Process </w:t>
      </w:r>
    </w:p>
    <w:p w:rsidR="003B3123" w:rsidRPr="00AA0F76" w:rsidRDefault="003B3123" w:rsidP="00740D93">
      <w:pPr>
        <w:pStyle w:val="ListParagraph"/>
      </w:pPr>
      <w:r w:rsidRPr="00AA0F76">
        <w:t>Aspen Plus process simulation file, problem statement and solution for these case study problems are provided.</w:t>
      </w:r>
    </w:p>
    <w:p w:rsidR="00252D46" w:rsidRDefault="00252D46">
      <w:pPr>
        <w:rPr>
          <w:b/>
          <w:sz w:val="24"/>
        </w:rPr>
      </w:pPr>
      <w:r w:rsidRPr="00252D46">
        <w:rPr>
          <w:b/>
          <w:sz w:val="24"/>
        </w:rPr>
        <w:t>References</w:t>
      </w:r>
    </w:p>
    <w:p w:rsidR="003B3123" w:rsidRPr="003B3123" w:rsidRDefault="003B3123" w:rsidP="003B3123">
      <w:r w:rsidRPr="003B3123">
        <w:t xml:space="preserve">1. Pintaric, Z.N., Kravanja, Z., Selection of the economic objective functions for the optimization of process flow sheets. Ind. Eng. Chem. Res., 2006. 45: p. 4222–4232. </w:t>
      </w:r>
    </w:p>
    <w:p w:rsidR="003B3123" w:rsidRPr="003B3123" w:rsidRDefault="003B3123" w:rsidP="003B3123">
      <w:r w:rsidRPr="003B3123">
        <w:t xml:space="preserve">2. Othman, M.R., et al., A Modular Approach to Sustainability Assessment and Decision Support in Chemical Process Design. Ind. Eng. Chem. Res., 2010. 49(17): p. 7870–7881. </w:t>
      </w:r>
    </w:p>
    <w:p w:rsidR="003B3123" w:rsidRDefault="003B3123" w:rsidP="003B3123">
      <w:r w:rsidRPr="003B3123">
        <w:t xml:space="preserve">3. Young, D.M. and H. Cabezas, Designing Sustainable Processes with Simulation: The Waste Reduction (WAR) Algorithm. Comp. Che. Eng., 1999. 23: p. 1477-1491. </w:t>
      </w:r>
    </w:p>
    <w:p w:rsidR="004760A1" w:rsidRDefault="004760A1" w:rsidP="003B3123">
      <w:r>
        <w:t xml:space="preserve">4. </w:t>
      </w:r>
      <w:r w:rsidRPr="004760A1">
        <w:t>TRACI 2 Impact Assessment Method</w:t>
      </w:r>
      <w:r>
        <w:t xml:space="preserve"> (</w:t>
      </w:r>
      <w:r w:rsidRPr="004760A1">
        <w:t>retrieved</w:t>
      </w:r>
      <w:r>
        <w:t xml:space="preserve"> September </w:t>
      </w:r>
      <w:r w:rsidRPr="004760A1">
        <w:t>201</w:t>
      </w:r>
      <w:r>
        <w:t xml:space="preserve">4) </w:t>
      </w:r>
      <w:hyperlink r:id="rId10" w:history="1">
        <w:r w:rsidRPr="00D54F6C">
          <w:rPr>
            <w:rStyle w:val="Hyperlink"/>
          </w:rPr>
          <w:t>http://www.earthshift.com/software/simapro/traci2</w:t>
        </w:r>
      </w:hyperlink>
    </w:p>
    <w:p w:rsidR="004760A1" w:rsidRDefault="004760A1" w:rsidP="003B3123">
      <w:r>
        <w:t xml:space="preserve">5. </w:t>
      </w:r>
      <w:r w:rsidRPr="004760A1">
        <w:t>RECIPE method</w:t>
      </w:r>
      <w:r>
        <w:t xml:space="preserve"> (</w:t>
      </w:r>
      <w:r w:rsidRPr="004760A1">
        <w:t>retrieved</w:t>
      </w:r>
      <w:r>
        <w:t xml:space="preserve"> September </w:t>
      </w:r>
      <w:r w:rsidRPr="004760A1">
        <w:t>201</w:t>
      </w:r>
      <w:r>
        <w:t xml:space="preserve">4) </w:t>
      </w:r>
      <w:hyperlink r:id="rId11" w:history="1">
        <w:r w:rsidRPr="00D54F6C">
          <w:rPr>
            <w:rStyle w:val="Hyperlink"/>
          </w:rPr>
          <w:t>http://www.lcia-recipe.net/</w:t>
        </w:r>
      </w:hyperlink>
    </w:p>
    <w:p w:rsidR="004760A1" w:rsidRPr="003B3123" w:rsidRDefault="004760A1" w:rsidP="003B3123">
      <w:r>
        <w:t xml:space="preserve">6. </w:t>
      </w:r>
      <w:r w:rsidRPr="004760A1">
        <w:t>EcoTox method</w:t>
      </w:r>
      <w:r>
        <w:t xml:space="preserve"> (</w:t>
      </w:r>
      <w:r w:rsidRPr="004760A1">
        <w:t>retrieved</w:t>
      </w:r>
      <w:r>
        <w:t xml:space="preserve"> September </w:t>
      </w:r>
      <w:r w:rsidRPr="004760A1">
        <w:t>201</w:t>
      </w:r>
      <w:r>
        <w:t xml:space="preserve">4) </w:t>
      </w:r>
      <w:r w:rsidRPr="004760A1">
        <w:t>http://www.epa.gov/med/Prods_Pubs/ecotox.htm</w:t>
      </w:r>
    </w:p>
    <w:p w:rsidR="003B3123" w:rsidRPr="003B3123" w:rsidRDefault="004760A1" w:rsidP="003B3123">
      <w:r>
        <w:t>7</w:t>
      </w:r>
      <w:r w:rsidR="003B3123" w:rsidRPr="003B3123">
        <w:t xml:space="preserve">. Heikkila, A.M., Inherent Safety in Process Plant Design, An Index-Based Approach. 1999, Helsinki University of Technology: Helsinki. </w:t>
      </w:r>
    </w:p>
    <w:p w:rsidR="003B3123" w:rsidRPr="003B3123" w:rsidRDefault="004760A1" w:rsidP="003B3123">
      <w:r>
        <w:t>8</w:t>
      </w:r>
      <w:r w:rsidR="003B3123" w:rsidRPr="003B3123">
        <w:t xml:space="preserve">. Edwards, D.W. and D. Lawrence, Assessing the inherent safety of chemical process routes: Is there a relation between plant costs and inherent safety? Trans. IChemE., 1993. 71(Part B): p. 252-258. </w:t>
      </w:r>
    </w:p>
    <w:p w:rsidR="003B3123" w:rsidRPr="003B3123" w:rsidRDefault="004760A1" w:rsidP="003B3123">
      <w:r>
        <w:t>9</w:t>
      </w:r>
      <w:r w:rsidR="003B3123" w:rsidRPr="003B3123">
        <w:t xml:space="preserve">. Kletz, T.A., What you don't have can't leak. Chem. Ind., 1978: p. 287. </w:t>
      </w:r>
    </w:p>
    <w:p w:rsidR="003B3123" w:rsidRPr="003B3123" w:rsidRDefault="004760A1" w:rsidP="003B3123">
      <w:r>
        <w:t>10</w:t>
      </w:r>
      <w:r w:rsidR="003B3123" w:rsidRPr="003B3123">
        <w:t xml:space="preserve">. Kletz, T.A., Inherently safer plants. Plant/Operations Progress, 1985. 4(3): p. 164-167.15 </w:t>
      </w:r>
    </w:p>
    <w:p w:rsidR="003B3123" w:rsidRPr="003B3123" w:rsidRDefault="004760A1" w:rsidP="003B3123">
      <w:r>
        <w:t>11</w:t>
      </w:r>
      <w:r w:rsidR="003B3123" w:rsidRPr="003B3123">
        <w:t xml:space="preserve">. Singh, A.K., Development of conventionally catalysed chemical process to produce biodiesel. 2008, Mississippi State University. </w:t>
      </w:r>
    </w:p>
    <w:p w:rsidR="003B3123" w:rsidRPr="003B3123" w:rsidRDefault="004760A1" w:rsidP="003B3123">
      <w:r>
        <w:lastRenderedPageBreak/>
        <w:t>12</w:t>
      </w:r>
      <w:r w:rsidR="003B3123" w:rsidRPr="003B3123">
        <w:t xml:space="preserve">. Aspen Technology Inc., Aspen Plus Biodiesel Model. 2008: Burlington, MA. </w:t>
      </w:r>
    </w:p>
    <w:p w:rsidR="003B3123" w:rsidRPr="003B3123" w:rsidRDefault="004760A1" w:rsidP="003B3123">
      <w:r>
        <w:t>13</w:t>
      </w:r>
      <w:r w:rsidR="003B3123" w:rsidRPr="003B3123">
        <w:t xml:space="preserve">. Jayswal, A., X. Li, A. Zanwar, H. H. Lou and Y. L. Huang, “A Sustainability Root Cause Analysis Methodology and its Application,” Computers and Chemical Engineering, 35(12), 2011, 2591-3048. </w:t>
      </w:r>
    </w:p>
    <w:p w:rsidR="003B3123" w:rsidRPr="003B3123" w:rsidRDefault="004760A1" w:rsidP="003B3123">
      <w:pPr>
        <w:rPr>
          <w:sz w:val="24"/>
        </w:rPr>
      </w:pPr>
      <w:r>
        <w:t>14</w:t>
      </w:r>
      <w:r w:rsidR="003B3123" w:rsidRPr="003B3123">
        <w:t>. Kurle, Y.M., M.R. Islam, and T.J. Benson, Process development and simulation of glycerol-free</w:t>
      </w:r>
      <w:r w:rsidR="003B3123">
        <w:t xml:space="preserve"> biofuel from canola oil and dimethyl carbonate. Fuel Processing Technology, 2013. </w:t>
      </w:r>
      <w:r w:rsidR="003B3123">
        <w:rPr>
          <w:b/>
          <w:bCs/>
        </w:rPr>
        <w:t>114</w:t>
      </w:r>
      <w:r w:rsidR="003B3123">
        <w:t>(0): p. 49-57.</w:t>
      </w:r>
    </w:p>
    <w:p w:rsidR="006A7BF3" w:rsidRDefault="006A7BF3" w:rsidP="003B3123">
      <w:pPr>
        <w:pStyle w:val="Default"/>
        <w:spacing w:after="200"/>
        <w:rPr>
          <w:rFonts w:asciiTheme="minorHAnsi" w:hAnsiTheme="minorHAnsi"/>
          <w:b/>
          <w:bCs/>
          <w:szCs w:val="23"/>
        </w:rPr>
      </w:pPr>
    </w:p>
    <w:p w:rsidR="00740D93" w:rsidRDefault="00740D93" w:rsidP="003B3123">
      <w:pPr>
        <w:pStyle w:val="Default"/>
        <w:spacing w:after="200"/>
        <w:rPr>
          <w:rFonts w:asciiTheme="minorHAnsi" w:hAnsiTheme="minorHAnsi"/>
          <w:b/>
          <w:bCs/>
          <w:szCs w:val="23"/>
        </w:rPr>
      </w:pPr>
    </w:p>
    <w:p w:rsidR="00740D93" w:rsidRDefault="00740D93" w:rsidP="003B3123">
      <w:pPr>
        <w:pStyle w:val="Default"/>
        <w:spacing w:after="200"/>
        <w:rPr>
          <w:rFonts w:asciiTheme="minorHAnsi" w:hAnsiTheme="minorHAnsi"/>
          <w:b/>
          <w:bCs/>
          <w:szCs w:val="23"/>
        </w:rPr>
      </w:pPr>
    </w:p>
    <w:p w:rsidR="00740D93" w:rsidRDefault="00740D93" w:rsidP="003B3123">
      <w:pPr>
        <w:pStyle w:val="Default"/>
        <w:spacing w:after="200"/>
        <w:rPr>
          <w:rFonts w:asciiTheme="minorHAnsi" w:hAnsiTheme="minorHAnsi"/>
          <w:b/>
          <w:bCs/>
          <w:szCs w:val="23"/>
        </w:rPr>
      </w:pPr>
    </w:p>
    <w:p w:rsidR="00740D93" w:rsidRDefault="00740D93" w:rsidP="003B3123">
      <w:pPr>
        <w:pStyle w:val="Default"/>
        <w:spacing w:after="200"/>
        <w:rPr>
          <w:rFonts w:asciiTheme="minorHAnsi" w:hAnsiTheme="minorHAnsi"/>
          <w:b/>
          <w:bCs/>
          <w:szCs w:val="23"/>
        </w:rPr>
      </w:pPr>
    </w:p>
    <w:p w:rsidR="00740D93" w:rsidRDefault="00740D93" w:rsidP="003B3123">
      <w:pPr>
        <w:pStyle w:val="Default"/>
        <w:spacing w:after="200"/>
        <w:rPr>
          <w:rFonts w:asciiTheme="minorHAnsi" w:hAnsiTheme="minorHAnsi"/>
          <w:b/>
          <w:bCs/>
          <w:szCs w:val="23"/>
        </w:rPr>
      </w:pPr>
    </w:p>
    <w:p w:rsidR="00740D93" w:rsidRDefault="00740D93" w:rsidP="003B3123">
      <w:pPr>
        <w:pStyle w:val="Default"/>
        <w:spacing w:after="200"/>
        <w:rPr>
          <w:rFonts w:asciiTheme="minorHAnsi" w:hAnsiTheme="minorHAnsi"/>
          <w:b/>
          <w:bCs/>
          <w:szCs w:val="23"/>
        </w:rPr>
      </w:pPr>
    </w:p>
    <w:p w:rsidR="00740D93" w:rsidRDefault="00740D93" w:rsidP="003B3123">
      <w:pPr>
        <w:pStyle w:val="Default"/>
        <w:spacing w:after="200"/>
        <w:rPr>
          <w:rFonts w:asciiTheme="minorHAnsi" w:hAnsiTheme="minorHAnsi"/>
          <w:b/>
          <w:bCs/>
          <w:szCs w:val="23"/>
        </w:rPr>
      </w:pPr>
    </w:p>
    <w:p w:rsidR="00740D93" w:rsidRDefault="00740D93" w:rsidP="003B3123">
      <w:pPr>
        <w:pStyle w:val="Default"/>
        <w:spacing w:after="200"/>
        <w:rPr>
          <w:rFonts w:asciiTheme="minorHAnsi" w:hAnsiTheme="minorHAnsi"/>
          <w:b/>
          <w:bCs/>
          <w:szCs w:val="23"/>
        </w:rPr>
      </w:pPr>
    </w:p>
    <w:p w:rsidR="00740D93" w:rsidRDefault="00740D93" w:rsidP="003B3123">
      <w:pPr>
        <w:pStyle w:val="Default"/>
        <w:spacing w:after="200"/>
        <w:rPr>
          <w:rFonts w:asciiTheme="minorHAnsi" w:hAnsiTheme="minorHAnsi"/>
          <w:b/>
          <w:bCs/>
          <w:szCs w:val="23"/>
        </w:rPr>
      </w:pPr>
    </w:p>
    <w:p w:rsidR="00740D93" w:rsidRDefault="00740D93" w:rsidP="003B3123">
      <w:pPr>
        <w:pStyle w:val="Default"/>
        <w:spacing w:after="200"/>
        <w:rPr>
          <w:rFonts w:asciiTheme="minorHAnsi" w:hAnsiTheme="minorHAnsi"/>
          <w:b/>
          <w:bCs/>
          <w:szCs w:val="23"/>
        </w:rPr>
      </w:pPr>
    </w:p>
    <w:p w:rsidR="00740D93" w:rsidRDefault="00740D93" w:rsidP="003B3123">
      <w:pPr>
        <w:pStyle w:val="Default"/>
        <w:spacing w:after="200"/>
        <w:rPr>
          <w:rFonts w:asciiTheme="minorHAnsi" w:hAnsiTheme="minorHAnsi"/>
          <w:b/>
          <w:bCs/>
          <w:szCs w:val="23"/>
        </w:rPr>
      </w:pPr>
    </w:p>
    <w:p w:rsidR="00740D93" w:rsidRDefault="00740D93" w:rsidP="003B3123">
      <w:pPr>
        <w:pStyle w:val="Default"/>
        <w:spacing w:after="200"/>
        <w:rPr>
          <w:rFonts w:asciiTheme="minorHAnsi" w:hAnsiTheme="minorHAnsi"/>
          <w:b/>
          <w:bCs/>
          <w:szCs w:val="23"/>
        </w:rPr>
      </w:pPr>
    </w:p>
    <w:p w:rsidR="00740D93" w:rsidRDefault="00740D93" w:rsidP="003B3123">
      <w:pPr>
        <w:pStyle w:val="Default"/>
        <w:spacing w:after="200"/>
        <w:rPr>
          <w:rFonts w:asciiTheme="minorHAnsi" w:hAnsiTheme="minorHAnsi"/>
          <w:b/>
          <w:bCs/>
          <w:szCs w:val="23"/>
        </w:rPr>
      </w:pPr>
    </w:p>
    <w:p w:rsidR="00740D93" w:rsidRDefault="00740D93" w:rsidP="003B3123">
      <w:pPr>
        <w:pStyle w:val="Default"/>
        <w:spacing w:after="200"/>
        <w:rPr>
          <w:rFonts w:asciiTheme="minorHAnsi" w:hAnsiTheme="minorHAnsi"/>
          <w:b/>
          <w:bCs/>
          <w:szCs w:val="23"/>
        </w:rPr>
      </w:pPr>
    </w:p>
    <w:p w:rsidR="00740D93" w:rsidRDefault="00740D93" w:rsidP="003B3123">
      <w:pPr>
        <w:pStyle w:val="Default"/>
        <w:spacing w:after="200"/>
        <w:rPr>
          <w:rFonts w:asciiTheme="minorHAnsi" w:hAnsiTheme="minorHAnsi"/>
          <w:b/>
          <w:bCs/>
          <w:szCs w:val="23"/>
        </w:rPr>
      </w:pPr>
    </w:p>
    <w:p w:rsidR="00740D93" w:rsidRDefault="00740D93" w:rsidP="003B3123">
      <w:pPr>
        <w:pStyle w:val="Default"/>
        <w:spacing w:after="200"/>
        <w:rPr>
          <w:rFonts w:asciiTheme="minorHAnsi" w:hAnsiTheme="minorHAnsi"/>
          <w:b/>
          <w:bCs/>
          <w:szCs w:val="23"/>
        </w:rPr>
      </w:pPr>
    </w:p>
    <w:p w:rsidR="00740D93" w:rsidRDefault="00740D93" w:rsidP="003B3123">
      <w:pPr>
        <w:pStyle w:val="Default"/>
        <w:spacing w:after="200"/>
        <w:rPr>
          <w:rFonts w:asciiTheme="minorHAnsi" w:hAnsiTheme="minorHAnsi"/>
          <w:b/>
          <w:bCs/>
          <w:szCs w:val="23"/>
        </w:rPr>
      </w:pPr>
    </w:p>
    <w:p w:rsidR="00740D93" w:rsidRDefault="00740D93" w:rsidP="003B3123">
      <w:pPr>
        <w:pStyle w:val="Default"/>
        <w:spacing w:after="200"/>
        <w:rPr>
          <w:rFonts w:asciiTheme="minorHAnsi" w:hAnsiTheme="minorHAnsi"/>
          <w:b/>
          <w:bCs/>
          <w:szCs w:val="23"/>
        </w:rPr>
      </w:pPr>
    </w:p>
    <w:p w:rsidR="00740D93" w:rsidRDefault="00740D93" w:rsidP="003B3123">
      <w:pPr>
        <w:pStyle w:val="Default"/>
        <w:spacing w:after="200"/>
        <w:rPr>
          <w:rFonts w:asciiTheme="minorHAnsi" w:hAnsiTheme="minorHAnsi"/>
          <w:b/>
          <w:bCs/>
          <w:szCs w:val="23"/>
        </w:rPr>
      </w:pPr>
    </w:p>
    <w:p w:rsidR="00740D93" w:rsidRDefault="00740D93" w:rsidP="003B3123">
      <w:pPr>
        <w:pStyle w:val="Default"/>
        <w:spacing w:after="200"/>
        <w:rPr>
          <w:rFonts w:asciiTheme="minorHAnsi" w:hAnsiTheme="minorHAnsi"/>
          <w:b/>
          <w:bCs/>
          <w:szCs w:val="23"/>
        </w:rPr>
      </w:pPr>
    </w:p>
    <w:p w:rsidR="006A7BF3" w:rsidRDefault="006A7BF3" w:rsidP="003B3123">
      <w:pPr>
        <w:pStyle w:val="Default"/>
        <w:spacing w:after="200"/>
        <w:rPr>
          <w:rFonts w:asciiTheme="minorHAnsi" w:hAnsiTheme="minorHAnsi"/>
          <w:b/>
          <w:bCs/>
          <w:szCs w:val="23"/>
        </w:rPr>
      </w:pPr>
    </w:p>
    <w:p w:rsidR="003B3123" w:rsidRPr="003B3123" w:rsidRDefault="003B3123" w:rsidP="003B3123">
      <w:pPr>
        <w:pStyle w:val="Default"/>
        <w:spacing w:after="200"/>
        <w:rPr>
          <w:rFonts w:asciiTheme="minorHAnsi" w:hAnsiTheme="minorHAnsi"/>
          <w:b/>
          <w:bCs/>
          <w:szCs w:val="23"/>
        </w:rPr>
      </w:pPr>
      <w:r w:rsidRPr="003B3123">
        <w:rPr>
          <w:rFonts w:asciiTheme="minorHAnsi" w:hAnsiTheme="minorHAnsi"/>
          <w:b/>
          <w:bCs/>
          <w:szCs w:val="23"/>
        </w:rPr>
        <w:lastRenderedPageBreak/>
        <w:t xml:space="preserve">Appendix 1 </w:t>
      </w:r>
    </w:p>
    <w:p w:rsidR="003B3123" w:rsidRPr="003B3123" w:rsidRDefault="003B3123" w:rsidP="003B3123">
      <w:pPr>
        <w:pStyle w:val="Default"/>
        <w:spacing w:after="200"/>
        <w:rPr>
          <w:rFonts w:asciiTheme="minorHAnsi" w:hAnsiTheme="minorHAnsi"/>
          <w:szCs w:val="23"/>
        </w:rPr>
      </w:pPr>
      <w:r w:rsidRPr="003B3123">
        <w:rPr>
          <w:rFonts w:asciiTheme="minorHAnsi" w:hAnsiTheme="minorHAnsi"/>
          <w:b/>
          <w:bCs/>
          <w:szCs w:val="23"/>
        </w:rPr>
        <w:t xml:space="preserve">COMPUTER TOOLS </w:t>
      </w:r>
    </w:p>
    <w:p w:rsidR="003B3123" w:rsidRPr="00740D93" w:rsidRDefault="003B3123" w:rsidP="00740D93">
      <w:pPr>
        <w:pStyle w:val="Default"/>
        <w:rPr>
          <w:rFonts w:asciiTheme="minorHAnsi" w:hAnsiTheme="minorHAnsi"/>
          <w:sz w:val="22"/>
          <w:szCs w:val="23"/>
        </w:rPr>
      </w:pPr>
      <w:r w:rsidRPr="00740D93">
        <w:rPr>
          <w:rFonts w:asciiTheme="minorHAnsi" w:hAnsiTheme="minorHAnsi"/>
          <w:b/>
          <w:bCs/>
          <w:sz w:val="22"/>
          <w:szCs w:val="23"/>
        </w:rPr>
        <w:t xml:space="preserve">(a) Aspen Plus </w:t>
      </w:r>
    </w:p>
    <w:p w:rsidR="003B3123" w:rsidRPr="00740D93" w:rsidRDefault="003B3123" w:rsidP="00740D93">
      <w:pPr>
        <w:pStyle w:val="Default"/>
        <w:spacing w:after="200"/>
        <w:ind w:firstLine="720"/>
        <w:rPr>
          <w:rFonts w:asciiTheme="minorHAnsi" w:hAnsiTheme="minorHAnsi"/>
          <w:sz w:val="22"/>
          <w:szCs w:val="23"/>
        </w:rPr>
      </w:pPr>
      <w:r w:rsidRPr="00740D93">
        <w:rPr>
          <w:rFonts w:asciiTheme="minorHAnsi" w:hAnsiTheme="minorHAnsi"/>
          <w:sz w:val="22"/>
          <w:szCs w:val="23"/>
        </w:rPr>
        <w:t xml:space="preserve">The process simulation software package Aspen Plus was used to simulate all these processes. Aspen Plus is very useful and convenient for the simulation of chemical plants. The simulator output provides the necessary data to conduct the sustainability assessment. A complete tutorial on Aspen Plus can be found at: http://web.ist.utl.pt/mcasquilho/acad/Aspen/AspUserGuide10.pdf. Aspen Plus version 7.1 was used in this project. </w:t>
      </w:r>
    </w:p>
    <w:p w:rsidR="003B3123" w:rsidRPr="00740D93" w:rsidRDefault="003B3123" w:rsidP="00740D93">
      <w:pPr>
        <w:pStyle w:val="Default"/>
        <w:rPr>
          <w:rFonts w:asciiTheme="minorHAnsi" w:hAnsiTheme="minorHAnsi"/>
          <w:sz w:val="22"/>
          <w:szCs w:val="23"/>
        </w:rPr>
      </w:pPr>
      <w:r w:rsidRPr="00740D93">
        <w:rPr>
          <w:rFonts w:asciiTheme="minorHAnsi" w:hAnsiTheme="minorHAnsi"/>
          <w:b/>
          <w:bCs/>
          <w:sz w:val="22"/>
          <w:szCs w:val="23"/>
        </w:rPr>
        <w:t xml:space="preserve">(b) Aspen Economic Evaluator </w:t>
      </w:r>
    </w:p>
    <w:p w:rsidR="003B3123" w:rsidRPr="00740D93" w:rsidRDefault="003B3123" w:rsidP="00740D93">
      <w:pPr>
        <w:pStyle w:val="Default"/>
        <w:ind w:firstLine="720"/>
        <w:rPr>
          <w:rFonts w:asciiTheme="minorHAnsi" w:hAnsiTheme="minorHAnsi"/>
          <w:sz w:val="22"/>
          <w:szCs w:val="23"/>
        </w:rPr>
      </w:pPr>
      <w:r w:rsidRPr="00740D93">
        <w:rPr>
          <w:rFonts w:asciiTheme="minorHAnsi" w:hAnsiTheme="minorHAnsi"/>
          <w:sz w:val="22"/>
          <w:szCs w:val="23"/>
        </w:rPr>
        <w:t xml:space="preserve">Aspen Economic Evaluator is used to estimate the capital cost of the two processes (Aspen Icarus 2006). The latest version can be activated from within the Aspen Plus window. It maps the equipment, sizes it, and provides a comprehensive estimate of capital cost, including operating costs and investment analysis. The integrated economics step-by-step video tutorial is available from Aspen Tech: </w:t>
      </w:r>
      <w:r w:rsidRPr="00740D93">
        <w:rPr>
          <w:rFonts w:asciiTheme="minorHAnsi" w:hAnsiTheme="minorHAnsi"/>
          <w:sz w:val="22"/>
          <w:szCs w:val="23"/>
          <w:u w:val="single"/>
        </w:rPr>
        <w:t xml:space="preserve">http://tinyurl.com/c9lbvwb </w:t>
      </w:r>
    </w:p>
    <w:p w:rsidR="003B3123" w:rsidRPr="00740D93" w:rsidRDefault="003B3123" w:rsidP="00740D93">
      <w:pPr>
        <w:pStyle w:val="Default"/>
        <w:rPr>
          <w:rFonts w:asciiTheme="minorHAnsi" w:hAnsiTheme="minorHAnsi"/>
          <w:sz w:val="22"/>
          <w:szCs w:val="23"/>
        </w:rPr>
      </w:pPr>
      <w:r w:rsidRPr="00740D93">
        <w:rPr>
          <w:rFonts w:asciiTheme="minorHAnsi" w:hAnsiTheme="minorHAnsi"/>
          <w:b/>
          <w:bCs/>
          <w:sz w:val="22"/>
          <w:szCs w:val="23"/>
        </w:rPr>
        <w:t xml:space="preserve">(c) WAR Algorithm </w:t>
      </w:r>
    </w:p>
    <w:p w:rsidR="003B3123" w:rsidRPr="00740D93" w:rsidRDefault="003B3123" w:rsidP="00740D93">
      <w:pPr>
        <w:spacing w:line="240" w:lineRule="auto"/>
        <w:rPr>
          <w:szCs w:val="23"/>
          <w:lang w:eastAsia="zh-CN"/>
        </w:rPr>
      </w:pPr>
      <w:r w:rsidRPr="00740D93">
        <w:rPr>
          <w:szCs w:val="23"/>
          <w:u w:val="single"/>
        </w:rPr>
        <w:t>WA</w:t>
      </w:r>
      <w:r w:rsidRPr="00740D93">
        <w:rPr>
          <w:szCs w:val="23"/>
        </w:rPr>
        <w:t xml:space="preserve">ste Reduction algorithm: The </w:t>
      </w:r>
      <w:r w:rsidRPr="00740D93">
        <w:rPr>
          <w:szCs w:val="23"/>
          <w:u w:val="single"/>
        </w:rPr>
        <w:t xml:space="preserve">http://www.epa.gov/nrmrl/std/war/sim_war.htm </w:t>
      </w:r>
      <w:r w:rsidRPr="00740D93">
        <w:rPr>
          <w:szCs w:val="23"/>
        </w:rPr>
        <w:t xml:space="preserve">was developed by the EPA. The method is based on a potential environmental impact (PEI) balance for chemical processes. The result of the PEI balance is an impact (pollution) index that provides a quantitative measure of the impact of the waste generated in the process. Case studies can be conducted by directly importing data from Aspen Plus into WAR algorithm, which is quite convenient. </w:t>
      </w:r>
    </w:p>
    <w:p w:rsidR="00740D93" w:rsidRDefault="00740D93" w:rsidP="00DD4E69">
      <w:pPr>
        <w:pStyle w:val="Default"/>
        <w:spacing w:after="200"/>
        <w:jc w:val="both"/>
        <w:rPr>
          <w:rFonts w:asciiTheme="minorHAnsi" w:hAnsiTheme="minorHAnsi"/>
          <w:b/>
          <w:lang w:eastAsia="zh-CN"/>
        </w:rPr>
      </w:pPr>
    </w:p>
    <w:p w:rsidR="00740D93" w:rsidRDefault="00740D93" w:rsidP="00DD4E69">
      <w:pPr>
        <w:pStyle w:val="Default"/>
        <w:spacing w:after="200"/>
        <w:jc w:val="both"/>
        <w:rPr>
          <w:rFonts w:asciiTheme="minorHAnsi" w:hAnsiTheme="minorHAnsi"/>
          <w:b/>
          <w:lang w:eastAsia="zh-CN"/>
        </w:rPr>
      </w:pPr>
    </w:p>
    <w:p w:rsidR="00740D93" w:rsidRDefault="00740D93" w:rsidP="00DD4E69">
      <w:pPr>
        <w:pStyle w:val="Default"/>
        <w:spacing w:after="200"/>
        <w:jc w:val="both"/>
        <w:rPr>
          <w:rFonts w:asciiTheme="minorHAnsi" w:hAnsiTheme="minorHAnsi"/>
          <w:b/>
          <w:lang w:eastAsia="zh-CN"/>
        </w:rPr>
      </w:pPr>
    </w:p>
    <w:p w:rsidR="00740D93" w:rsidRDefault="00740D93" w:rsidP="00DD4E69">
      <w:pPr>
        <w:pStyle w:val="Default"/>
        <w:spacing w:after="200"/>
        <w:jc w:val="both"/>
        <w:rPr>
          <w:rFonts w:asciiTheme="minorHAnsi" w:hAnsiTheme="minorHAnsi"/>
          <w:b/>
          <w:lang w:eastAsia="zh-CN"/>
        </w:rPr>
      </w:pPr>
    </w:p>
    <w:p w:rsidR="00740D93" w:rsidRDefault="00740D93" w:rsidP="00DD4E69">
      <w:pPr>
        <w:pStyle w:val="Default"/>
        <w:spacing w:after="200"/>
        <w:jc w:val="both"/>
        <w:rPr>
          <w:rFonts w:asciiTheme="minorHAnsi" w:hAnsiTheme="minorHAnsi"/>
          <w:b/>
          <w:lang w:eastAsia="zh-CN"/>
        </w:rPr>
      </w:pPr>
    </w:p>
    <w:p w:rsidR="00740D93" w:rsidRDefault="00740D93" w:rsidP="00DD4E69">
      <w:pPr>
        <w:pStyle w:val="Default"/>
        <w:spacing w:after="200"/>
        <w:jc w:val="both"/>
        <w:rPr>
          <w:rFonts w:asciiTheme="minorHAnsi" w:hAnsiTheme="minorHAnsi"/>
          <w:b/>
          <w:lang w:eastAsia="zh-CN"/>
        </w:rPr>
      </w:pPr>
    </w:p>
    <w:p w:rsidR="00740D93" w:rsidRDefault="00740D93" w:rsidP="00DD4E69">
      <w:pPr>
        <w:pStyle w:val="Default"/>
        <w:spacing w:after="200"/>
        <w:jc w:val="both"/>
        <w:rPr>
          <w:rFonts w:asciiTheme="minorHAnsi" w:hAnsiTheme="minorHAnsi"/>
          <w:b/>
          <w:lang w:eastAsia="zh-CN"/>
        </w:rPr>
      </w:pPr>
    </w:p>
    <w:p w:rsidR="00740D93" w:rsidRDefault="00740D93" w:rsidP="00DD4E69">
      <w:pPr>
        <w:pStyle w:val="Default"/>
        <w:spacing w:after="200"/>
        <w:jc w:val="both"/>
        <w:rPr>
          <w:rFonts w:asciiTheme="minorHAnsi" w:hAnsiTheme="minorHAnsi"/>
          <w:b/>
          <w:lang w:eastAsia="zh-CN"/>
        </w:rPr>
      </w:pPr>
    </w:p>
    <w:p w:rsidR="00740D93" w:rsidRDefault="00740D93" w:rsidP="00DD4E69">
      <w:pPr>
        <w:pStyle w:val="Default"/>
        <w:spacing w:after="200"/>
        <w:jc w:val="both"/>
        <w:rPr>
          <w:rFonts w:asciiTheme="minorHAnsi" w:hAnsiTheme="minorHAnsi"/>
          <w:b/>
          <w:lang w:eastAsia="zh-CN"/>
        </w:rPr>
      </w:pPr>
    </w:p>
    <w:p w:rsidR="00740D93" w:rsidRDefault="00740D93" w:rsidP="00DD4E69">
      <w:pPr>
        <w:pStyle w:val="Default"/>
        <w:spacing w:after="200"/>
        <w:jc w:val="both"/>
        <w:rPr>
          <w:rFonts w:asciiTheme="minorHAnsi" w:hAnsiTheme="minorHAnsi"/>
          <w:b/>
          <w:lang w:eastAsia="zh-CN"/>
        </w:rPr>
      </w:pPr>
    </w:p>
    <w:p w:rsidR="00E37256" w:rsidRDefault="00E37256" w:rsidP="00DD4E69">
      <w:pPr>
        <w:pStyle w:val="Default"/>
        <w:spacing w:after="200"/>
        <w:jc w:val="both"/>
        <w:rPr>
          <w:rFonts w:asciiTheme="minorHAnsi" w:hAnsiTheme="minorHAnsi"/>
          <w:b/>
          <w:lang w:eastAsia="zh-CN"/>
        </w:rPr>
      </w:pPr>
      <w:bookmarkStart w:id="0" w:name="_GoBack"/>
      <w:bookmarkEnd w:id="0"/>
    </w:p>
    <w:p w:rsidR="00740D93" w:rsidRDefault="00740D93" w:rsidP="00DD4E69">
      <w:pPr>
        <w:pStyle w:val="Default"/>
        <w:spacing w:after="200"/>
        <w:jc w:val="both"/>
        <w:rPr>
          <w:rFonts w:asciiTheme="minorHAnsi" w:hAnsiTheme="minorHAnsi"/>
          <w:b/>
          <w:lang w:eastAsia="zh-CN"/>
        </w:rPr>
      </w:pPr>
    </w:p>
    <w:p w:rsidR="00740D93" w:rsidRDefault="00740D93" w:rsidP="00DD4E69">
      <w:pPr>
        <w:pStyle w:val="Default"/>
        <w:spacing w:after="200"/>
        <w:jc w:val="both"/>
        <w:rPr>
          <w:rFonts w:asciiTheme="minorHAnsi" w:hAnsiTheme="minorHAnsi"/>
          <w:b/>
          <w:lang w:eastAsia="zh-CN"/>
        </w:rPr>
      </w:pPr>
    </w:p>
    <w:p w:rsidR="00740D93" w:rsidRDefault="00740D93" w:rsidP="00DD4E69">
      <w:pPr>
        <w:pStyle w:val="Default"/>
        <w:spacing w:after="200"/>
        <w:jc w:val="both"/>
        <w:rPr>
          <w:rFonts w:asciiTheme="minorHAnsi" w:hAnsiTheme="minorHAnsi"/>
          <w:b/>
          <w:lang w:eastAsia="zh-CN"/>
        </w:rPr>
      </w:pPr>
    </w:p>
    <w:p w:rsidR="00DD4E69" w:rsidRPr="00740D93" w:rsidRDefault="00DD4E69" w:rsidP="00DD4E69">
      <w:pPr>
        <w:pStyle w:val="Default"/>
        <w:spacing w:after="200"/>
        <w:jc w:val="both"/>
        <w:rPr>
          <w:rFonts w:asciiTheme="minorHAnsi" w:hAnsiTheme="minorHAnsi"/>
          <w:b/>
          <w:sz w:val="22"/>
          <w:szCs w:val="22"/>
          <w:lang w:eastAsia="zh-CN"/>
        </w:rPr>
      </w:pPr>
      <w:r w:rsidRPr="00740D93">
        <w:rPr>
          <w:rFonts w:asciiTheme="minorHAnsi" w:hAnsiTheme="minorHAnsi"/>
          <w:b/>
          <w:sz w:val="22"/>
          <w:szCs w:val="22"/>
          <w:lang w:eastAsia="zh-CN"/>
        </w:rPr>
        <w:lastRenderedPageBreak/>
        <w:t>Appendix 2:</w:t>
      </w:r>
    </w:p>
    <w:p w:rsidR="00DD4E69" w:rsidRPr="00740D93" w:rsidRDefault="00DD4E69" w:rsidP="00DD4E69">
      <w:pPr>
        <w:pStyle w:val="Default"/>
        <w:spacing w:after="200"/>
        <w:ind w:firstLine="720"/>
        <w:jc w:val="both"/>
        <w:rPr>
          <w:rFonts w:asciiTheme="minorHAnsi" w:hAnsiTheme="minorHAnsi"/>
          <w:sz w:val="22"/>
          <w:szCs w:val="22"/>
          <w:lang w:eastAsia="zh-CN"/>
        </w:rPr>
      </w:pPr>
      <w:r w:rsidRPr="00740D93">
        <w:rPr>
          <w:rFonts w:asciiTheme="minorHAnsi" w:hAnsiTheme="minorHAnsi"/>
          <w:sz w:val="22"/>
          <w:szCs w:val="22"/>
          <w:lang w:eastAsia="zh-CN"/>
        </w:rPr>
        <w:t>Tables used in the calculation of inherent safety index are listed below.</w:t>
      </w:r>
    </w:p>
    <w:p w:rsidR="00DD4E69" w:rsidRPr="00740D93" w:rsidRDefault="00DD4E69" w:rsidP="00DD4E69">
      <w:pPr>
        <w:pStyle w:val="Default"/>
        <w:rPr>
          <w:rFonts w:asciiTheme="minorHAnsi" w:hAnsiTheme="minorHAnsi"/>
          <w:b/>
          <w:sz w:val="22"/>
          <w:szCs w:val="22"/>
        </w:rPr>
      </w:pPr>
      <w:r w:rsidRPr="00740D93">
        <w:rPr>
          <w:rFonts w:asciiTheme="minorHAnsi" w:hAnsiTheme="minorHAnsi"/>
          <w:b/>
          <w:sz w:val="22"/>
          <w:szCs w:val="22"/>
        </w:rPr>
        <w:t>Chemical Inherent Safety:</w:t>
      </w:r>
    </w:p>
    <w:p w:rsidR="00DD4E69" w:rsidRPr="00740D93" w:rsidRDefault="00DD4E69" w:rsidP="00DD4E69">
      <w:pPr>
        <w:pStyle w:val="Default"/>
        <w:rPr>
          <w:rFonts w:asciiTheme="minorHAnsi" w:hAnsiTheme="minorHAnsi"/>
          <w:sz w:val="22"/>
          <w:szCs w:val="22"/>
        </w:rPr>
      </w:pPr>
      <w:r w:rsidRPr="00740D93">
        <w:rPr>
          <w:rFonts w:asciiTheme="minorHAnsi" w:hAnsiTheme="minorHAnsi"/>
          <w:sz w:val="22"/>
          <w:szCs w:val="22"/>
        </w:rPr>
        <w:t>Table 4a. Flammability</w:t>
      </w:r>
    </w:p>
    <w:tbl>
      <w:tblPr>
        <w:tblStyle w:val="TableGrid"/>
        <w:tblW w:w="6369" w:type="dxa"/>
        <w:jc w:val="center"/>
        <w:tblBorders>
          <w:left w:val="none" w:sz="0" w:space="0" w:color="auto"/>
          <w:right w:val="none" w:sz="0" w:space="0" w:color="auto"/>
          <w:insideH w:val="dotted" w:sz="4" w:space="0" w:color="auto"/>
          <w:insideV w:val="none" w:sz="0" w:space="0" w:color="auto"/>
        </w:tblBorders>
        <w:tblLayout w:type="fixed"/>
        <w:tblLook w:val="0000" w:firstRow="0" w:lastRow="0" w:firstColumn="0" w:lastColumn="0" w:noHBand="0" w:noVBand="0"/>
      </w:tblPr>
      <w:tblGrid>
        <w:gridCol w:w="5490"/>
        <w:gridCol w:w="879"/>
      </w:tblGrid>
      <w:tr w:rsidR="00DD4E69" w:rsidRPr="00740D93" w:rsidTr="006A7BF3">
        <w:trPr>
          <w:trHeight w:val="163"/>
          <w:jc w:val="center"/>
        </w:trPr>
        <w:tc>
          <w:tcPr>
            <w:tcW w:w="5490" w:type="dxa"/>
            <w:shd w:val="clear" w:color="auto" w:fill="000000" w:themeFill="text1"/>
          </w:tcPr>
          <w:p w:rsidR="00DD4E69" w:rsidRPr="00740D93" w:rsidRDefault="00DD4E69" w:rsidP="00CF6C04">
            <w:pPr>
              <w:autoSpaceDE w:val="0"/>
              <w:autoSpaceDN w:val="0"/>
              <w:adjustRightInd w:val="0"/>
              <w:rPr>
                <w:rFonts w:cs="Times New Roman"/>
                <w:color w:val="FFFFFF" w:themeColor="background1"/>
              </w:rPr>
            </w:pPr>
            <w:r w:rsidRPr="00740D93">
              <w:rPr>
                <w:rFonts w:cs="Times New Roman"/>
                <w:b/>
                <w:bCs/>
                <w:color w:val="FFFFFF" w:themeColor="background1"/>
              </w:rPr>
              <w:t>Flammability, I</w:t>
            </w:r>
            <w:r w:rsidRPr="00740D93">
              <w:rPr>
                <w:rFonts w:cs="Times New Roman"/>
                <w:b/>
                <w:bCs/>
                <w:color w:val="FFFFFF" w:themeColor="background1"/>
                <w:position w:val="-8"/>
                <w:vertAlign w:val="subscript"/>
              </w:rPr>
              <w:t xml:space="preserve">FL </w:t>
            </w:r>
          </w:p>
        </w:tc>
        <w:tc>
          <w:tcPr>
            <w:tcW w:w="879" w:type="dxa"/>
            <w:shd w:val="clear" w:color="auto" w:fill="000000" w:themeFill="text1"/>
          </w:tcPr>
          <w:p w:rsidR="00DD4E69" w:rsidRPr="00740D93" w:rsidRDefault="00DD4E69" w:rsidP="00CF6C04">
            <w:pPr>
              <w:autoSpaceDE w:val="0"/>
              <w:autoSpaceDN w:val="0"/>
              <w:adjustRightInd w:val="0"/>
              <w:jc w:val="center"/>
              <w:rPr>
                <w:rFonts w:cs="Times New Roman"/>
                <w:color w:val="FFFFFF" w:themeColor="background1"/>
              </w:rPr>
            </w:pPr>
            <w:r w:rsidRPr="00740D93">
              <w:rPr>
                <w:rFonts w:cs="Times New Roman"/>
                <w:b/>
                <w:bCs/>
                <w:color w:val="FFFFFF" w:themeColor="background1"/>
              </w:rPr>
              <w:t xml:space="preserve">Score </w:t>
            </w:r>
          </w:p>
        </w:tc>
      </w:tr>
      <w:tr w:rsidR="00DD4E69" w:rsidRPr="00740D93" w:rsidTr="006A7BF3">
        <w:trPr>
          <w:trHeight w:val="157"/>
          <w:jc w:val="center"/>
        </w:trPr>
        <w:tc>
          <w:tcPr>
            <w:tcW w:w="5490" w:type="dxa"/>
          </w:tcPr>
          <w:p w:rsidR="00DD4E69" w:rsidRPr="00740D93" w:rsidRDefault="00DD4E69" w:rsidP="00CF6C04">
            <w:pPr>
              <w:autoSpaceDE w:val="0"/>
              <w:autoSpaceDN w:val="0"/>
              <w:adjustRightInd w:val="0"/>
              <w:jc w:val="center"/>
              <w:rPr>
                <w:rFonts w:cs="Times New Roman"/>
                <w:color w:val="000000"/>
              </w:rPr>
            </w:pPr>
            <w:r w:rsidRPr="00740D93">
              <w:rPr>
                <w:rFonts w:cs="Times New Roman"/>
                <w:color w:val="000000"/>
              </w:rPr>
              <w:t xml:space="preserve">Nonflammable </w:t>
            </w:r>
          </w:p>
        </w:tc>
        <w:tc>
          <w:tcPr>
            <w:tcW w:w="879" w:type="dxa"/>
          </w:tcPr>
          <w:p w:rsidR="00DD4E69" w:rsidRPr="00740D93" w:rsidRDefault="00DD4E69" w:rsidP="00CF6C04">
            <w:pPr>
              <w:autoSpaceDE w:val="0"/>
              <w:autoSpaceDN w:val="0"/>
              <w:adjustRightInd w:val="0"/>
              <w:jc w:val="center"/>
              <w:rPr>
                <w:rFonts w:cs="Times New Roman"/>
                <w:color w:val="000000"/>
              </w:rPr>
            </w:pPr>
            <w:r w:rsidRPr="00740D93">
              <w:rPr>
                <w:rFonts w:cs="Times New Roman"/>
                <w:color w:val="000000"/>
              </w:rPr>
              <w:t xml:space="preserve">0 </w:t>
            </w:r>
          </w:p>
        </w:tc>
      </w:tr>
      <w:tr w:rsidR="00DD4E69" w:rsidRPr="00740D93" w:rsidTr="006A7BF3">
        <w:trPr>
          <w:trHeight w:val="157"/>
          <w:jc w:val="center"/>
        </w:trPr>
        <w:tc>
          <w:tcPr>
            <w:tcW w:w="5490" w:type="dxa"/>
          </w:tcPr>
          <w:p w:rsidR="00DD4E69" w:rsidRPr="00740D93" w:rsidRDefault="00DD4E69" w:rsidP="00CF6C04">
            <w:pPr>
              <w:autoSpaceDE w:val="0"/>
              <w:autoSpaceDN w:val="0"/>
              <w:adjustRightInd w:val="0"/>
              <w:jc w:val="center"/>
              <w:rPr>
                <w:rFonts w:cs="Times New Roman"/>
                <w:color w:val="000000"/>
              </w:rPr>
            </w:pPr>
            <w:r w:rsidRPr="00740D93">
              <w:rPr>
                <w:rFonts w:cs="Times New Roman"/>
                <w:color w:val="000000"/>
              </w:rPr>
              <w:t xml:space="preserve">Combustible (flash point &gt; 55 C) </w:t>
            </w:r>
          </w:p>
        </w:tc>
        <w:tc>
          <w:tcPr>
            <w:tcW w:w="879" w:type="dxa"/>
          </w:tcPr>
          <w:p w:rsidR="00DD4E69" w:rsidRPr="00740D93" w:rsidRDefault="00DD4E69" w:rsidP="00CF6C04">
            <w:pPr>
              <w:autoSpaceDE w:val="0"/>
              <w:autoSpaceDN w:val="0"/>
              <w:adjustRightInd w:val="0"/>
              <w:jc w:val="center"/>
              <w:rPr>
                <w:rFonts w:cs="Times New Roman"/>
                <w:color w:val="000000"/>
              </w:rPr>
            </w:pPr>
            <w:r w:rsidRPr="00740D93">
              <w:rPr>
                <w:rFonts w:cs="Times New Roman"/>
                <w:color w:val="000000"/>
              </w:rPr>
              <w:t xml:space="preserve">1 </w:t>
            </w:r>
          </w:p>
        </w:tc>
      </w:tr>
      <w:tr w:rsidR="00DD4E69" w:rsidRPr="00740D93" w:rsidTr="006A7BF3">
        <w:trPr>
          <w:trHeight w:val="157"/>
          <w:jc w:val="center"/>
        </w:trPr>
        <w:tc>
          <w:tcPr>
            <w:tcW w:w="5490" w:type="dxa"/>
          </w:tcPr>
          <w:p w:rsidR="00DD4E69" w:rsidRPr="00740D93" w:rsidRDefault="00DD4E69" w:rsidP="00CF6C04">
            <w:pPr>
              <w:autoSpaceDE w:val="0"/>
              <w:autoSpaceDN w:val="0"/>
              <w:adjustRightInd w:val="0"/>
              <w:jc w:val="center"/>
              <w:rPr>
                <w:rFonts w:cs="Times New Roman"/>
                <w:color w:val="000000"/>
              </w:rPr>
            </w:pPr>
            <w:r w:rsidRPr="00740D93">
              <w:rPr>
                <w:rFonts w:cs="Times New Roman"/>
                <w:color w:val="000000"/>
              </w:rPr>
              <w:t xml:space="preserve">Flammable (flash point &lt;= 55 C) </w:t>
            </w:r>
          </w:p>
        </w:tc>
        <w:tc>
          <w:tcPr>
            <w:tcW w:w="879" w:type="dxa"/>
          </w:tcPr>
          <w:p w:rsidR="00DD4E69" w:rsidRPr="00740D93" w:rsidRDefault="00DD4E69" w:rsidP="00CF6C04">
            <w:pPr>
              <w:autoSpaceDE w:val="0"/>
              <w:autoSpaceDN w:val="0"/>
              <w:adjustRightInd w:val="0"/>
              <w:jc w:val="center"/>
              <w:rPr>
                <w:rFonts w:cs="Times New Roman"/>
                <w:color w:val="000000"/>
              </w:rPr>
            </w:pPr>
            <w:r w:rsidRPr="00740D93">
              <w:rPr>
                <w:rFonts w:cs="Times New Roman"/>
                <w:color w:val="000000"/>
              </w:rPr>
              <w:t xml:space="preserve">2 </w:t>
            </w:r>
          </w:p>
        </w:tc>
      </w:tr>
      <w:tr w:rsidR="00DD4E69" w:rsidRPr="00740D93" w:rsidTr="006A7BF3">
        <w:trPr>
          <w:trHeight w:val="157"/>
          <w:jc w:val="center"/>
        </w:trPr>
        <w:tc>
          <w:tcPr>
            <w:tcW w:w="5490" w:type="dxa"/>
          </w:tcPr>
          <w:p w:rsidR="00DD4E69" w:rsidRPr="00740D93" w:rsidRDefault="00DD4E69" w:rsidP="00CF6C04">
            <w:pPr>
              <w:autoSpaceDE w:val="0"/>
              <w:autoSpaceDN w:val="0"/>
              <w:adjustRightInd w:val="0"/>
              <w:jc w:val="center"/>
              <w:rPr>
                <w:rFonts w:cs="Times New Roman"/>
                <w:color w:val="000000"/>
              </w:rPr>
            </w:pPr>
            <w:r w:rsidRPr="00740D93">
              <w:rPr>
                <w:rFonts w:cs="Times New Roman"/>
                <w:color w:val="000000"/>
              </w:rPr>
              <w:t xml:space="preserve">Easily flammable (flash point &lt; 21 C) </w:t>
            </w:r>
          </w:p>
        </w:tc>
        <w:tc>
          <w:tcPr>
            <w:tcW w:w="879" w:type="dxa"/>
          </w:tcPr>
          <w:p w:rsidR="00DD4E69" w:rsidRPr="00740D93" w:rsidRDefault="00DD4E69" w:rsidP="00CF6C04">
            <w:pPr>
              <w:autoSpaceDE w:val="0"/>
              <w:autoSpaceDN w:val="0"/>
              <w:adjustRightInd w:val="0"/>
              <w:jc w:val="center"/>
              <w:rPr>
                <w:rFonts w:cs="Times New Roman"/>
                <w:color w:val="000000"/>
              </w:rPr>
            </w:pPr>
            <w:r w:rsidRPr="00740D93">
              <w:rPr>
                <w:rFonts w:cs="Times New Roman"/>
                <w:color w:val="000000"/>
              </w:rPr>
              <w:t xml:space="preserve">3 </w:t>
            </w:r>
          </w:p>
        </w:tc>
      </w:tr>
      <w:tr w:rsidR="00DD4E69" w:rsidRPr="00740D93" w:rsidTr="006A7BF3">
        <w:trPr>
          <w:trHeight w:val="157"/>
          <w:jc w:val="center"/>
        </w:trPr>
        <w:tc>
          <w:tcPr>
            <w:tcW w:w="5490" w:type="dxa"/>
          </w:tcPr>
          <w:p w:rsidR="00DD4E69" w:rsidRPr="00740D93" w:rsidRDefault="00DD4E69" w:rsidP="00CF6C04">
            <w:pPr>
              <w:autoSpaceDE w:val="0"/>
              <w:autoSpaceDN w:val="0"/>
              <w:adjustRightInd w:val="0"/>
              <w:jc w:val="center"/>
              <w:rPr>
                <w:rFonts w:cs="Times New Roman"/>
                <w:color w:val="000000"/>
              </w:rPr>
            </w:pPr>
            <w:r w:rsidRPr="00740D93">
              <w:rPr>
                <w:rFonts w:cs="Times New Roman"/>
                <w:color w:val="000000"/>
              </w:rPr>
              <w:t xml:space="preserve">Very flammable (flash point &lt; 0 C &amp; boiling point &lt;= 35 C) </w:t>
            </w:r>
          </w:p>
        </w:tc>
        <w:tc>
          <w:tcPr>
            <w:tcW w:w="879" w:type="dxa"/>
          </w:tcPr>
          <w:p w:rsidR="00DD4E69" w:rsidRPr="00740D93" w:rsidRDefault="00DD4E69" w:rsidP="00CF6C04">
            <w:pPr>
              <w:autoSpaceDE w:val="0"/>
              <w:autoSpaceDN w:val="0"/>
              <w:adjustRightInd w:val="0"/>
              <w:jc w:val="center"/>
              <w:rPr>
                <w:rFonts w:cs="Times New Roman"/>
                <w:color w:val="000000"/>
              </w:rPr>
            </w:pPr>
            <w:r w:rsidRPr="00740D93">
              <w:rPr>
                <w:rFonts w:cs="Times New Roman"/>
                <w:color w:val="000000"/>
              </w:rPr>
              <w:t xml:space="preserve">4 </w:t>
            </w:r>
          </w:p>
        </w:tc>
      </w:tr>
    </w:tbl>
    <w:p w:rsidR="00DD4E69" w:rsidRPr="00740D93" w:rsidRDefault="00DD4E69" w:rsidP="00DD4E69">
      <w:pPr>
        <w:pStyle w:val="Default"/>
        <w:rPr>
          <w:rFonts w:asciiTheme="minorHAnsi" w:hAnsiTheme="minorHAnsi"/>
          <w:sz w:val="22"/>
          <w:szCs w:val="22"/>
        </w:rPr>
      </w:pPr>
      <w:r w:rsidRPr="00740D93">
        <w:rPr>
          <w:rFonts w:asciiTheme="minorHAnsi" w:hAnsiTheme="minorHAnsi"/>
          <w:sz w:val="22"/>
          <w:szCs w:val="22"/>
        </w:rPr>
        <w:t>Table 4b. Explosiveness</w:t>
      </w:r>
    </w:p>
    <w:tbl>
      <w:tblPr>
        <w:tblStyle w:val="TableGrid"/>
        <w:tblW w:w="4185" w:type="dxa"/>
        <w:jc w:val="center"/>
        <w:tblBorders>
          <w:left w:val="none" w:sz="0" w:space="0" w:color="auto"/>
          <w:right w:val="none" w:sz="0" w:space="0" w:color="auto"/>
          <w:insideH w:val="dotted" w:sz="4" w:space="0" w:color="auto"/>
          <w:insideV w:val="none" w:sz="0" w:space="0" w:color="auto"/>
        </w:tblBorders>
        <w:tblLayout w:type="fixed"/>
        <w:tblLook w:val="0000" w:firstRow="0" w:lastRow="0" w:firstColumn="0" w:lastColumn="0" w:noHBand="0" w:noVBand="0"/>
      </w:tblPr>
      <w:tblGrid>
        <w:gridCol w:w="3306"/>
        <w:gridCol w:w="879"/>
      </w:tblGrid>
      <w:tr w:rsidR="00DD4E69" w:rsidRPr="00740D93" w:rsidTr="006A7BF3">
        <w:trPr>
          <w:trHeight w:val="163"/>
          <w:jc w:val="center"/>
        </w:trPr>
        <w:tc>
          <w:tcPr>
            <w:tcW w:w="3306" w:type="dxa"/>
            <w:shd w:val="clear" w:color="auto" w:fill="000000" w:themeFill="text1"/>
          </w:tcPr>
          <w:p w:rsidR="00DD4E69" w:rsidRPr="00740D93" w:rsidRDefault="00DD4E69" w:rsidP="00CF6C04">
            <w:pPr>
              <w:autoSpaceDE w:val="0"/>
              <w:autoSpaceDN w:val="0"/>
              <w:adjustRightInd w:val="0"/>
              <w:jc w:val="center"/>
              <w:rPr>
                <w:rFonts w:cs="Times New Roman"/>
                <w:color w:val="FFFFFF" w:themeColor="background1"/>
              </w:rPr>
            </w:pPr>
            <w:r w:rsidRPr="00740D93">
              <w:rPr>
                <w:rFonts w:cs="Times New Roman"/>
                <w:b/>
                <w:bCs/>
                <w:color w:val="FFFFFF" w:themeColor="background1"/>
              </w:rPr>
              <w:t>Explosiveness (UEL-LEL) vol%, I</w:t>
            </w:r>
            <w:r w:rsidRPr="00740D93">
              <w:rPr>
                <w:rFonts w:cs="Times New Roman"/>
                <w:b/>
                <w:bCs/>
                <w:color w:val="FFFFFF" w:themeColor="background1"/>
                <w:position w:val="-8"/>
                <w:vertAlign w:val="subscript"/>
              </w:rPr>
              <w:t xml:space="preserve">EX </w:t>
            </w:r>
          </w:p>
        </w:tc>
        <w:tc>
          <w:tcPr>
            <w:tcW w:w="879" w:type="dxa"/>
            <w:shd w:val="clear" w:color="auto" w:fill="000000" w:themeFill="text1"/>
          </w:tcPr>
          <w:p w:rsidR="00DD4E69" w:rsidRPr="00740D93" w:rsidRDefault="00DD4E69" w:rsidP="00CF6C04">
            <w:pPr>
              <w:autoSpaceDE w:val="0"/>
              <w:autoSpaceDN w:val="0"/>
              <w:adjustRightInd w:val="0"/>
              <w:jc w:val="center"/>
              <w:rPr>
                <w:rFonts w:cs="Times New Roman"/>
                <w:color w:val="FFFFFF" w:themeColor="background1"/>
              </w:rPr>
            </w:pPr>
            <w:r w:rsidRPr="00740D93">
              <w:rPr>
                <w:rFonts w:cs="Times New Roman"/>
                <w:b/>
                <w:bCs/>
                <w:color w:val="FFFFFF" w:themeColor="background1"/>
              </w:rPr>
              <w:t xml:space="preserve">Score </w:t>
            </w:r>
          </w:p>
        </w:tc>
      </w:tr>
      <w:tr w:rsidR="00DD4E69" w:rsidRPr="00740D93" w:rsidTr="006A7BF3">
        <w:trPr>
          <w:trHeight w:val="145"/>
          <w:jc w:val="center"/>
        </w:trPr>
        <w:tc>
          <w:tcPr>
            <w:tcW w:w="3306" w:type="dxa"/>
          </w:tcPr>
          <w:p w:rsidR="00DD4E69" w:rsidRPr="00740D93" w:rsidRDefault="00DD4E69" w:rsidP="00CF6C04">
            <w:pPr>
              <w:autoSpaceDE w:val="0"/>
              <w:autoSpaceDN w:val="0"/>
              <w:adjustRightInd w:val="0"/>
              <w:jc w:val="center"/>
              <w:rPr>
                <w:rFonts w:cs="Times New Roman"/>
                <w:color w:val="000000"/>
              </w:rPr>
            </w:pPr>
            <w:r w:rsidRPr="00740D93">
              <w:rPr>
                <w:rFonts w:cs="Times New Roman"/>
                <w:color w:val="000000"/>
              </w:rPr>
              <w:t xml:space="preserve">Non explosive </w:t>
            </w:r>
          </w:p>
        </w:tc>
        <w:tc>
          <w:tcPr>
            <w:tcW w:w="879" w:type="dxa"/>
          </w:tcPr>
          <w:p w:rsidR="00DD4E69" w:rsidRPr="00740D93" w:rsidRDefault="00DD4E69" w:rsidP="00CF6C04">
            <w:pPr>
              <w:autoSpaceDE w:val="0"/>
              <w:autoSpaceDN w:val="0"/>
              <w:adjustRightInd w:val="0"/>
              <w:jc w:val="center"/>
              <w:rPr>
                <w:rFonts w:cs="Times New Roman"/>
                <w:color w:val="000000"/>
              </w:rPr>
            </w:pPr>
            <w:r w:rsidRPr="00740D93">
              <w:rPr>
                <w:rFonts w:cs="Times New Roman"/>
                <w:color w:val="000000"/>
              </w:rPr>
              <w:t xml:space="preserve">0 </w:t>
            </w:r>
          </w:p>
        </w:tc>
      </w:tr>
      <w:tr w:rsidR="00DD4E69" w:rsidRPr="00740D93" w:rsidTr="006A7BF3">
        <w:trPr>
          <w:trHeight w:val="145"/>
          <w:jc w:val="center"/>
        </w:trPr>
        <w:tc>
          <w:tcPr>
            <w:tcW w:w="3306" w:type="dxa"/>
          </w:tcPr>
          <w:p w:rsidR="00DD4E69" w:rsidRPr="00740D93" w:rsidRDefault="00DD4E69" w:rsidP="00CF6C04">
            <w:pPr>
              <w:autoSpaceDE w:val="0"/>
              <w:autoSpaceDN w:val="0"/>
              <w:adjustRightInd w:val="0"/>
              <w:jc w:val="center"/>
              <w:rPr>
                <w:rFonts w:cs="Times New Roman"/>
                <w:color w:val="000000"/>
              </w:rPr>
            </w:pPr>
            <w:r w:rsidRPr="00740D93">
              <w:rPr>
                <w:rFonts w:cs="Times New Roman"/>
                <w:color w:val="000000"/>
              </w:rPr>
              <w:t xml:space="preserve">0-20 </w:t>
            </w:r>
          </w:p>
        </w:tc>
        <w:tc>
          <w:tcPr>
            <w:tcW w:w="879" w:type="dxa"/>
          </w:tcPr>
          <w:p w:rsidR="00DD4E69" w:rsidRPr="00740D93" w:rsidRDefault="00DD4E69" w:rsidP="00CF6C04">
            <w:pPr>
              <w:autoSpaceDE w:val="0"/>
              <w:autoSpaceDN w:val="0"/>
              <w:adjustRightInd w:val="0"/>
              <w:jc w:val="center"/>
              <w:rPr>
                <w:rFonts w:cs="Times New Roman"/>
                <w:color w:val="000000"/>
              </w:rPr>
            </w:pPr>
            <w:r w:rsidRPr="00740D93">
              <w:rPr>
                <w:rFonts w:cs="Times New Roman"/>
                <w:color w:val="000000"/>
              </w:rPr>
              <w:t xml:space="preserve">1 </w:t>
            </w:r>
          </w:p>
        </w:tc>
      </w:tr>
      <w:tr w:rsidR="00DD4E69" w:rsidRPr="00740D93" w:rsidTr="006A7BF3">
        <w:trPr>
          <w:trHeight w:val="145"/>
          <w:jc w:val="center"/>
        </w:trPr>
        <w:tc>
          <w:tcPr>
            <w:tcW w:w="3306" w:type="dxa"/>
          </w:tcPr>
          <w:p w:rsidR="00DD4E69" w:rsidRPr="00740D93" w:rsidRDefault="00DD4E69" w:rsidP="00CF6C04">
            <w:pPr>
              <w:autoSpaceDE w:val="0"/>
              <w:autoSpaceDN w:val="0"/>
              <w:adjustRightInd w:val="0"/>
              <w:jc w:val="center"/>
              <w:rPr>
                <w:rFonts w:cs="Times New Roman"/>
                <w:color w:val="000000"/>
              </w:rPr>
            </w:pPr>
            <w:r w:rsidRPr="00740D93">
              <w:rPr>
                <w:rFonts w:cs="Times New Roman"/>
                <w:color w:val="000000"/>
              </w:rPr>
              <w:t xml:space="preserve">20-45 </w:t>
            </w:r>
          </w:p>
        </w:tc>
        <w:tc>
          <w:tcPr>
            <w:tcW w:w="879" w:type="dxa"/>
          </w:tcPr>
          <w:p w:rsidR="00DD4E69" w:rsidRPr="00740D93" w:rsidRDefault="00DD4E69" w:rsidP="00CF6C04">
            <w:pPr>
              <w:autoSpaceDE w:val="0"/>
              <w:autoSpaceDN w:val="0"/>
              <w:adjustRightInd w:val="0"/>
              <w:jc w:val="center"/>
              <w:rPr>
                <w:rFonts w:cs="Times New Roman"/>
                <w:color w:val="000000"/>
              </w:rPr>
            </w:pPr>
            <w:r w:rsidRPr="00740D93">
              <w:rPr>
                <w:rFonts w:cs="Times New Roman"/>
                <w:color w:val="000000"/>
              </w:rPr>
              <w:t xml:space="preserve">2 </w:t>
            </w:r>
          </w:p>
        </w:tc>
      </w:tr>
      <w:tr w:rsidR="00DD4E69" w:rsidRPr="00740D93" w:rsidTr="006A7BF3">
        <w:trPr>
          <w:trHeight w:val="145"/>
          <w:jc w:val="center"/>
        </w:trPr>
        <w:tc>
          <w:tcPr>
            <w:tcW w:w="3306" w:type="dxa"/>
          </w:tcPr>
          <w:p w:rsidR="00DD4E69" w:rsidRPr="00740D93" w:rsidRDefault="00DD4E69" w:rsidP="00CF6C04">
            <w:pPr>
              <w:autoSpaceDE w:val="0"/>
              <w:autoSpaceDN w:val="0"/>
              <w:adjustRightInd w:val="0"/>
              <w:jc w:val="center"/>
              <w:rPr>
                <w:rFonts w:cs="Times New Roman"/>
                <w:color w:val="000000"/>
              </w:rPr>
            </w:pPr>
            <w:r w:rsidRPr="00740D93">
              <w:rPr>
                <w:rFonts w:cs="Times New Roman"/>
                <w:color w:val="000000"/>
              </w:rPr>
              <w:t xml:space="preserve">45-70 </w:t>
            </w:r>
          </w:p>
        </w:tc>
        <w:tc>
          <w:tcPr>
            <w:tcW w:w="879" w:type="dxa"/>
          </w:tcPr>
          <w:p w:rsidR="00DD4E69" w:rsidRPr="00740D93" w:rsidRDefault="00DD4E69" w:rsidP="00CF6C04">
            <w:pPr>
              <w:autoSpaceDE w:val="0"/>
              <w:autoSpaceDN w:val="0"/>
              <w:adjustRightInd w:val="0"/>
              <w:jc w:val="center"/>
              <w:rPr>
                <w:rFonts w:cs="Times New Roman"/>
                <w:color w:val="000000"/>
              </w:rPr>
            </w:pPr>
            <w:r w:rsidRPr="00740D93">
              <w:rPr>
                <w:rFonts w:cs="Times New Roman"/>
                <w:color w:val="000000"/>
              </w:rPr>
              <w:t xml:space="preserve">3 </w:t>
            </w:r>
          </w:p>
        </w:tc>
      </w:tr>
      <w:tr w:rsidR="00DD4E69" w:rsidRPr="00740D93" w:rsidTr="006A7BF3">
        <w:trPr>
          <w:trHeight w:val="145"/>
          <w:jc w:val="center"/>
        </w:trPr>
        <w:tc>
          <w:tcPr>
            <w:tcW w:w="3306" w:type="dxa"/>
          </w:tcPr>
          <w:p w:rsidR="00DD4E69" w:rsidRPr="00740D93" w:rsidRDefault="00DD4E69" w:rsidP="00CF6C04">
            <w:pPr>
              <w:autoSpaceDE w:val="0"/>
              <w:autoSpaceDN w:val="0"/>
              <w:adjustRightInd w:val="0"/>
              <w:jc w:val="center"/>
              <w:rPr>
                <w:rFonts w:cs="Times New Roman"/>
                <w:color w:val="000000"/>
              </w:rPr>
            </w:pPr>
            <w:r w:rsidRPr="00740D93">
              <w:rPr>
                <w:rFonts w:cs="Times New Roman"/>
                <w:color w:val="000000"/>
              </w:rPr>
              <w:t xml:space="preserve">70-100 </w:t>
            </w:r>
          </w:p>
        </w:tc>
        <w:tc>
          <w:tcPr>
            <w:tcW w:w="879" w:type="dxa"/>
          </w:tcPr>
          <w:p w:rsidR="00DD4E69" w:rsidRPr="00740D93" w:rsidRDefault="00DD4E69" w:rsidP="00CF6C04">
            <w:pPr>
              <w:autoSpaceDE w:val="0"/>
              <w:autoSpaceDN w:val="0"/>
              <w:adjustRightInd w:val="0"/>
              <w:jc w:val="center"/>
              <w:rPr>
                <w:rFonts w:cs="Times New Roman"/>
                <w:color w:val="000000"/>
              </w:rPr>
            </w:pPr>
            <w:r w:rsidRPr="00740D93">
              <w:rPr>
                <w:rFonts w:cs="Times New Roman"/>
                <w:color w:val="000000"/>
              </w:rPr>
              <w:t>4</w:t>
            </w:r>
          </w:p>
        </w:tc>
      </w:tr>
    </w:tbl>
    <w:p w:rsidR="00DD4E69" w:rsidRPr="00740D93" w:rsidRDefault="00DD4E69" w:rsidP="00DD4E69">
      <w:pPr>
        <w:rPr>
          <w:b/>
          <w:i/>
        </w:rPr>
      </w:pPr>
      <w:r w:rsidRPr="00740D93">
        <w:rPr>
          <w:i/>
        </w:rPr>
        <w:t>(Note: UEL and LEL denote the upper and lower explosive limit. The difference between the two serves as the indicator for explosive potential)</w:t>
      </w:r>
    </w:p>
    <w:p w:rsidR="00DD4E69" w:rsidRPr="00740D93" w:rsidRDefault="00DD4E69" w:rsidP="00DD4E69">
      <w:pPr>
        <w:autoSpaceDE w:val="0"/>
        <w:autoSpaceDN w:val="0"/>
        <w:adjustRightInd w:val="0"/>
        <w:spacing w:after="0" w:line="240" w:lineRule="auto"/>
        <w:rPr>
          <w:rFonts w:cs="Times New Roman"/>
        </w:rPr>
      </w:pPr>
      <w:r w:rsidRPr="00740D93">
        <w:rPr>
          <w:rFonts w:cs="Times New Roman"/>
        </w:rPr>
        <w:t>Table 4c. Toxicity</w:t>
      </w:r>
    </w:p>
    <w:tbl>
      <w:tblPr>
        <w:tblW w:w="3225" w:type="dxa"/>
        <w:jc w:val="center"/>
        <w:tblBorders>
          <w:top w:val="single" w:sz="4" w:space="0" w:color="auto"/>
          <w:bottom w:val="single" w:sz="4" w:space="0" w:color="auto"/>
          <w:insideH w:val="dotted" w:sz="4" w:space="0" w:color="auto"/>
        </w:tblBorders>
        <w:tblLayout w:type="fixed"/>
        <w:tblLook w:val="0000" w:firstRow="0" w:lastRow="0" w:firstColumn="0" w:lastColumn="0" w:noHBand="0" w:noVBand="0"/>
      </w:tblPr>
      <w:tblGrid>
        <w:gridCol w:w="2346"/>
        <w:gridCol w:w="879"/>
      </w:tblGrid>
      <w:tr w:rsidR="00DD4E69" w:rsidRPr="00740D93" w:rsidTr="00740D93">
        <w:trPr>
          <w:trHeight w:val="163"/>
          <w:jc w:val="center"/>
        </w:trPr>
        <w:tc>
          <w:tcPr>
            <w:tcW w:w="2346" w:type="dxa"/>
            <w:shd w:val="clear" w:color="auto" w:fill="000000" w:themeFill="text1"/>
          </w:tcPr>
          <w:p w:rsidR="00DD4E69" w:rsidRPr="00740D93" w:rsidRDefault="00DD4E69" w:rsidP="00CF6C04">
            <w:pPr>
              <w:autoSpaceDE w:val="0"/>
              <w:autoSpaceDN w:val="0"/>
              <w:adjustRightInd w:val="0"/>
              <w:spacing w:after="0" w:line="240" w:lineRule="auto"/>
              <w:jc w:val="center"/>
              <w:rPr>
                <w:rFonts w:cs="Times New Roman"/>
                <w:color w:val="FFFFFF" w:themeColor="background1"/>
              </w:rPr>
            </w:pPr>
            <w:r w:rsidRPr="00740D93">
              <w:rPr>
                <w:rFonts w:cs="Times New Roman"/>
                <w:b/>
                <w:bCs/>
                <w:color w:val="FFFFFF" w:themeColor="background1"/>
              </w:rPr>
              <w:t>Toxic Limit (ppm), I</w:t>
            </w:r>
            <w:r w:rsidRPr="00740D93">
              <w:rPr>
                <w:rFonts w:cs="Times New Roman"/>
                <w:b/>
                <w:bCs/>
                <w:color w:val="FFFFFF" w:themeColor="background1"/>
                <w:position w:val="-8"/>
                <w:vertAlign w:val="subscript"/>
              </w:rPr>
              <w:t xml:space="preserve">TOX </w:t>
            </w:r>
          </w:p>
        </w:tc>
        <w:tc>
          <w:tcPr>
            <w:tcW w:w="879" w:type="dxa"/>
            <w:shd w:val="clear" w:color="auto" w:fill="000000" w:themeFill="text1"/>
          </w:tcPr>
          <w:p w:rsidR="00DD4E69" w:rsidRPr="00740D93" w:rsidRDefault="00DD4E69" w:rsidP="00CF6C04">
            <w:pPr>
              <w:autoSpaceDE w:val="0"/>
              <w:autoSpaceDN w:val="0"/>
              <w:adjustRightInd w:val="0"/>
              <w:spacing w:after="0" w:line="240" w:lineRule="auto"/>
              <w:jc w:val="center"/>
              <w:rPr>
                <w:rFonts w:cs="Times New Roman"/>
                <w:color w:val="FFFFFF" w:themeColor="background1"/>
              </w:rPr>
            </w:pPr>
            <w:r w:rsidRPr="00740D93">
              <w:rPr>
                <w:rFonts w:cs="Times New Roman"/>
                <w:b/>
                <w:bCs/>
                <w:color w:val="FFFFFF" w:themeColor="background1"/>
              </w:rPr>
              <w:t xml:space="preserve">Score </w:t>
            </w:r>
          </w:p>
        </w:tc>
      </w:tr>
      <w:tr w:rsidR="00DD4E69" w:rsidRPr="00740D93" w:rsidTr="00740D93">
        <w:trPr>
          <w:trHeight w:val="157"/>
          <w:jc w:val="center"/>
        </w:trPr>
        <w:tc>
          <w:tcPr>
            <w:tcW w:w="2346"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TLV &gt; 10000 </w:t>
            </w:r>
          </w:p>
        </w:tc>
        <w:tc>
          <w:tcPr>
            <w:tcW w:w="879"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0 </w:t>
            </w:r>
          </w:p>
        </w:tc>
      </w:tr>
      <w:tr w:rsidR="00DD4E69" w:rsidRPr="00740D93" w:rsidTr="00740D93">
        <w:trPr>
          <w:trHeight w:val="157"/>
          <w:jc w:val="center"/>
        </w:trPr>
        <w:tc>
          <w:tcPr>
            <w:tcW w:w="2346"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TLV &lt;= 10000 </w:t>
            </w:r>
          </w:p>
        </w:tc>
        <w:tc>
          <w:tcPr>
            <w:tcW w:w="879"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1 </w:t>
            </w:r>
          </w:p>
        </w:tc>
      </w:tr>
      <w:tr w:rsidR="00DD4E69" w:rsidRPr="00740D93" w:rsidTr="00740D93">
        <w:trPr>
          <w:trHeight w:val="157"/>
          <w:jc w:val="center"/>
        </w:trPr>
        <w:tc>
          <w:tcPr>
            <w:tcW w:w="2346"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TLV &lt;= 1000 </w:t>
            </w:r>
          </w:p>
        </w:tc>
        <w:tc>
          <w:tcPr>
            <w:tcW w:w="879"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2 </w:t>
            </w:r>
          </w:p>
        </w:tc>
      </w:tr>
      <w:tr w:rsidR="00DD4E69" w:rsidRPr="00740D93" w:rsidTr="00740D93">
        <w:trPr>
          <w:trHeight w:val="157"/>
          <w:jc w:val="center"/>
        </w:trPr>
        <w:tc>
          <w:tcPr>
            <w:tcW w:w="2346"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TLV &lt;= 100 </w:t>
            </w:r>
          </w:p>
        </w:tc>
        <w:tc>
          <w:tcPr>
            <w:tcW w:w="879"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3 </w:t>
            </w:r>
          </w:p>
        </w:tc>
      </w:tr>
      <w:tr w:rsidR="00DD4E69" w:rsidRPr="00740D93" w:rsidTr="00740D93">
        <w:trPr>
          <w:trHeight w:val="157"/>
          <w:jc w:val="center"/>
        </w:trPr>
        <w:tc>
          <w:tcPr>
            <w:tcW w:w="2346"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TLV &lt;= 10 </w:t>
            </w:r>
          </w:p>
        </w:tc>
        <w:tc>
          <w:tcPr>
            <w:tcW w:w="879"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4 </w:t>
            </w:r>
          </w:p>
        </w:tc>
      </w:tr>
      <w:tr w:rsidR="00DD4E69" w:rsidRPr="00740D93" w:rsidTr="00740D93">
        <w:trPr>
          <w:trHeight w:val="157"/>
          <w:jc w:val="center"/>
        </w:trPr>
        <w:tc>
          <w:tcPr>
            <w:tcW w:w="2346"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TLV &lt;= 1 </w:t>
            </w:r>
          </w:p>
        </w:tc>
        <w:tc>
          <w:tcPr>
            <w:tcW w:w="879"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5 </w:t>
            </w:r>
          </w:p>
        </w:tc>
      </w:tr>
      <w:tr w:rsidR="00DD4E69" w:rsidRPr="00740D93" w:rsidTr="00740D93">
        <w:trPr>
          <w:trHeight w:val="157"/>
          <w:jc w:val="center"/>
        </w:trPr>
        <w:tc>
          <w:tcPr>
            <w:tcW w:w="2346"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TLV &lt;= 0.1 </w:t>
            </w:r>
          </w:p>
        </w:tc>
        <w:tc>
          <w:tcPr>
            <w:tcW w:w="879"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6 </w:t>
            </w:r>
          </w:p>
        </w:tc>
      </w:tr>
    </w:tbl>
    <w:p w:rsidR="00DD4E69" w:rsidRPr="00740D93" w:rsidRDefault="00DD4E69" w:rsidP="00DD4E69">
      <w:pPr>
        <w:autoSpaceDE w:val="0"/>
        <w:autoSpaceDN w:val="0"/>
        <w:adjustRightInd w:val="0"/>
        <w:spacing w:after="0" w:line="240" w:lineRule="auto"/>
        <w:rPr>
          <w:rFonts w:cs="Times New Roman"/>
        </w:rPr>
      </w:pPr>
    </w:p>
    <w:p w:rsidR="00DD4E69" w:rsidRPr="00740D93" w:rsidRDefault="00DD4E69" w:rsidP="00DD4E69">
      <w:pPr>
        <w:autoSpaceDE w:val="0"/>
        <w:autoSpaceDN w:val="0"/>
        <w:adjustRightInd w:val="0"/>
        <w:spacing w:after="0" w:line="240" w:lineRule="auto"/>
        <w:rPr>
          <w:rFonts w:cs="Times New Roman"/>
        </w:rPr>
      </w:pPr>
      <w:r w:rsidRPr="00740D93">
        <w:rPr>
          <w:rFonts w:cs="Times New Roman"/>
        </w:rPr>
        <w:t>Table 4d. Corrosiveness</w:t>
      </w:r>
    </w:p>
    <w:tbl>
      <w:tblPr>
        <w:tblW w:w="3339" w:type="dxa"/>
        <w:jc w:val="center"/>
        <w:tblBorders>
          <w:top w:val="single" w:sz="4" w:space="0" w:color="auto"/>
          <w:bottom w:val="single" w:sz="4" w:space="0" w:color="auto"/>
          <w:insideH w:val="dotted" w:sz="4" w:space="0" w:color="auto"/>
        </w:tblBorders>
        <w:tblLayout w:type="fixed"/>
        <w:tblLook w:val="0000" w:firstRow="0" w:lastRow="0" w:firstColumn="0" w:lastColumn="0" w:noHBand="0" w:noVBand="0"/>
      </w:tblPr>
      <w:tblGrid>
        <w:gridCol w:w="2460"/>
        <w:gridCol w:w="879"/>
      </w:tblGrid>
      <w:tr w:rsidR="00DD4E69" w:rsidRPr="00740D93" w:rsidTr="00740D93">
        <w:trPr>
          <w:trHeight w:val="163"/>
          <w:jc w:val="center"/>
        </w:trPr>
        <w:tc>
          <w:tcPr>
            <w:tcW w:w="2460" w:type="dxa"/>
            <w:shd w:val="clear" w:color="auto" w:fill="000000" w:themeFill="text1"/>
          </w:tcPr>
          <w:p w:rsidR="00DD4E69" w:rsidRPr="00740D93" w:rsidRDefault="00DD4E69" w:rsidP="00CF6C04">
            <w:pPr>
              <w:autoSpaceDE w:val="0"/>
              <w:autoSpaceDN w:val="0"/>
              <w:adjustRightInd w:val="0"/>
              <w:spacing w:after="0" w:line="240" w:lineRule="auto"/>
              <w:jc w:val="center"/>
              <w:rPr>
                <w:rFonts w:cs="Times New Roman"/>
                <w:color w:val="FFFFFF" w:themeColor="background1"/>
              </w:rPr>
            </w:pPr>
            <w:r w:rsidRPr="00740D93">
              <w:rPr>
                <w:rFonts w:cs="Times New Roman"/>
                <w:b/>
                <w:bCs/>
                <w:color w:val="FFFFFF" w:themeColor="background1"/>
              </w:rPr>
              <w:t>Corrosiveness, I</w:t>
            </w:r>
            <w:r w:rsidRPr="00740D93">
              <w:rPr>
                <w:rFonts w:cs="Times New Roman"/>
                <w:b/>
                <w:bCs/>
                <w:color w:val="FFFFFF" w:themeColor="background1"/>
                <w:position w:val="-8"/>
                <w:vertAlign w:val="subscript"/>
              </w:rPr>
              <w:t xml:space="preserve">COR </w:t>
            </w:r>
          </w:p>
        </w:tc>
        <w:tc>
          <w:tcPr>
            <w:tcW w:w="879" w:type="dxa"/>
            <w:shd w:val="clear" w:color="auto" w:fill="000000" w:themeFill="text1"/>
          </w:tcPr>
          <w:p w:rsidR="00DD4E69" w:rsidRPr="00740D93" w:rsidRDefault="00DD4E69" w:rsidP="00CF6C04">
            <w:pPr>
              <w:autoSpaceDE w:val="0"/>
              <w:autoSpaceDN w:val="0"/>
              <w:adjustRightInd w:val="0"/>
              <w:spacing w:after="0" w:line="240" w:lineRule="auto"/>
              <w:jc w:val="center"/>
              <w:rPr>
                <w:rFonts w:cs="Times New Roman"/>
                <w:color w:val="FFFFFF" w:themeColor="background1"/>
              </w:rPr>
            </w:pPr>
            <w:r w:rsidRPr="00740D93">
              <w:rPr>
                <w:rFonts w:cs="Times New Roman"/>
                <w:b/>
                <w:bCs/>
                <w:color w:val="FFFFFF" w:themeColor="background1"/>
              </w:rPr>
              <w:t xml:space="preserve">Score </w:t>
            </w:r>
          </w:p>
        </w:tc>
      </w:tr>
      <w:tr w:rsidR="00DD4E69" w:rsidRPr="00740D93" w:rsidTr="00740D93">
        <w:trPr>
          <w:trHeight w:val="157"/>
          <w:jc w:val="center"/>
        </w:trPr>
        <w:tc>
          <w:tcPr>
            <w:tcW w:w="2460"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Carbon steel </w:t>
            </w:r>
          </w:p>
        </w:tc>
        <w:tc>
          <w:tcPr>
            <w:tcW w:w="879"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0 </w:t>
            </w:r>
          </w:p>
        </w:tc>
      </w:tr>
      <w:tr w:rsidR="00DD4E69" w:rsidRPr="00740D93" w:rsidTr="00740D93">
        <w:trPr>
          <w:trHeight w:val="157"/>
          <w:jc w:val="center"/>
        </w:trPr>
        <w:tc>
          <w:tcPr>
            <w:tcW w:w="2460"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Stainless steel </w:t>
            </w:r>
          </w:p>
        </w:tc>
        <w:tc>
          <w:tcPr>
            <w:tcW w:w="879"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1 </w:t>
            </w:r>
          </w:p>
        </w:tc>
      </w:tr>
      <w:tr w:rsidR="00DD4E69" w:rsidRPr="00740D93" w:rsidTr="00740D93">
        <w:trPr>
          <w:trHeight w:val="157"/>
          <w:jc w:val="center"/>
        </w:trPr>
        <w:tc>
          <w:tcPr>
            <w:tcW w:w="2460"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Better material needed </w:t>
            </w:r>
          </w:p>
        </w:tc>
        <w:tc>
          <w:tcPr>
            <w:tcW w:w="879"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2 </w:t>
            </w:r>
          </w:p>
        </w:tc>
      </w:tr>
    </w:tbl>
    <w:p w:rsidR="004B453F" w:rsidRPr="00740D93" w:rsidRDefault="004B453F" w:rsidP="004B453F">
      <w:pPr>
        <w:spacing w:after="0"/>
        <w:rPr>
          <w:b/>
        </w:rPr>
      </w:pPr>
      <w:r w:rsidRPr="00740D93">
        <w:rPr>
          <w:b/>
        </w:rPr>
        <w:t>Process Inherent Safety:</w:t>
      </w:r>
    </w:p>
    <w:p w:rsidR="00DD4E69" w:rsidRPr="00740D93" w:rsidRDefault="00DD4E69" w:rsidP="004B453F">
      <w:pPr>
        <w:spacing w:after="0"/>
        <w:rPr>
          <w:b/>
        </w:rPr>
      </w:pPr>
      <w:r w:rsidRPr="00740D93">
        <w:t>Table 4e. Inventory</w:t>
      </w:r>
    </w:p>
    <w:tbl>
      <w:tblPr>
        <w:tblW w:w="0" w:type="auto"/>
        <w:jc w:val="center"/>
        <w:tblBorders>
          <w:top w:val="single" w:sz="4" w:space="0" w:color="auto"/>
          <w:bottom w:val="single" w:sz="4" w:space="0" w:color="auto"/>
          <w:insideH w:val="dotted" w:sz="4" w:space="0" w:color="auto"/>
        </w:tblBorders>
        <w:tblLayout w:type="fixed"/>
        <w:tblLook w:val="0000" w:firstRow="0" w:lastRow="0" w:firstColumn="0" w:lastColumn="0" w:noHBand="0" w:noVBand="0"/>
      </w:tblPr>
      <w:tblGrid>
        <w:gridCol w:w="1447"/>
        <w:gridCol w:w="879"/>
      </w:tblGrid>
      <w:tr w:rsidR="00DD4E69" w:rsidRPr="00740D93" w:rsidTr="00740D93">
        <w:trPr>
          <w:trHeight w:val="163"/>
          <w:jc w:val="center"/>
        </w:trPr>
        <w:tc>
          <w:tcPr>
            <w:tcW w:w="1447" w:type="dxa"/>
            <w:shd w:val="clear" w:color="auto" w:fill="000000" w:themeFill="text1"/>
          </w:tcPr>
          <w:p w:rsidR="00DD4E69" w:rsidRPr="00740D93" w:rsidRDefault="00DD4E69" w:rsidP="004B453F">
            <w:pPr>
              <w:autoSpaceDE w:val="0"/>
              <w:autoSpaceDN w:val="0"/>
              <w:adjustRightInd w:val="0"/>
              <w:spacing w:after="0" w:line="240" w:lineRule="auto"/>
              <w:jc w:val="center"/>
              <w:rPr>
                <w:rFonts w:cs="Times New Roman"/>
                <w:color w:val="FFFFFF" w:themeColor="background1"/>
              </w:rPr>
            </w:pPr>
            <w:r w:rsidRPr="00740D93">
              <w:rPr>
                <w:rFonts w:cs="Times New Roman"/>
                <w:b/>
                <w:bCs/>
                <w:color w:val="FFFFFF" w:themeColor="background1"/>
              </w:rPr>
              <w:t>Inventory, I</w:t>
            </w:r>
            <w:r w:rsidRPr="00740D93">
              <w:rPr>
                <w:rFonts w:cs="Times New Roman"/>
                <w:b/>
                <w:bCs/>
                <w:color w:val="FFFFFF" w:themeColor="background1"/>
                <w:position w:val="-8"/>
                <w:vertAlign w:val="subscript"/>
              </w:rPr>
              <w:t xml:space="preserve">I </w:t>
            </w:r>
          </w:p>
        </w:tc>
        <w:tc>
          <w:tcPr>
            <w:tcW w:w="879" w:type="dxa"/>
            <w:shd w:val="clear" w:color="auto" w:fill="000000" w:themeFill="text1"/>
          </w:tcPr>
          <w:p w:rsidR="00DD4E69" w:rsidRPr="00740D93" w:rsidRDefault="00DD4E69" w:rsidP="004B453F">
            <w:pPr>
              <w:autoSpaceDE w:val="0"/>
              <w:autoSpaceDN w:val="0"/>
              <w:adjustRightInd w:val="0"/>
              <w:spacing w:after="0" w:line="240" w:lineRule="auto"/>
              <w:jc w:val="center"/>
              <w:rPr>
                <w:rFonts w:cs="Times New Roman"/>
                <w:color w:val="FFFFFF" w:themeColor="background1"/>
              </w:rPr>
            </w:pPr>
            <w:r w:rsidRPr="00740D93">
              <w:rPr>
                <w:rFonts w:cs="Times New Roman"/>
                <w:b/>
                <w:bCs/>
                <w:color w:val="FFFFFF" w:themeColor="background1"/>
              </w:rPr>
              <w:t xml:space="preserve">Score </w:t>
            </w:r>
          </w:p>
        </w:tc>
      </w:tr>
      <w:tr w:rsidR="00DD4E69" w:rsidRPr="00740D93" w:rsidTr="00740D93">
        <w:trPr>
          <w:trHeight w:val="157"/>
          <w:jc w:val="center"/>
        </w:trPr>
        <w:tc>
          <w:tcPr>
            <w:tcW w:w="1447"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0-1 t </w:t>
            </w:r>
          </w:p>
        </w:tc>
        <w:tc>
          <w:tcPr>
            <w:tcW w:w="879"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0 </w:t>
            </w:r>
          </w:p>
        </w:tc>
      </w:tr>
      <w:tr w:rsidR="00DD4E69" w:rsidRPr="00740D93" w:rsidTr="00740D93">
        <w:trPr>
          <w:trHeight w:val="157"/>
          <w:jc w:val="center"/>
        </w:trPr>
        <w:tc>
          <w:tcPr>
            <w:tcW w:w="1447"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1-10 t </w:t>
            </w:r>
          </w:p>
        </w:tc>
        <w:tc>
          <w:tcPr>
            <w:tcW w:w="879"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1 </w:t>
            </w:r>
          </w:p>
        </w:tc>
      </w:tr>
      <w:tr w:rsidR="00DD4E69" w:rsidRPr="00740D93" w:rsidTr="00740D93">
        <w:trPr>
          <w:trHeight w:val="157"/>
          <w:jc w:val="center"/>
        </w:trPr>
        <w:tc>
          <w:tcPr>
            <w:tcW w:w="1447"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10-50 t </w:t>
            </w:r>
          </w:p>
        </w:tc>
        <w:tc>
          <w:tcPr>
            <w:tcW w:w="879"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2 </w:t>
            </w:r>
          </w:p>
        </w:tc>
      </w:tr>
      <w:tr w:rsidR="00DD4E69" w:rsidRPr="00740D93" w:rsidTr="00740D93">
        <w:trPr>
          <w:trHeight w:val="157"/>
          <w:jc w:val="center"/>
        </w:trPr>
        <w:tc>
          <w:tcPr>
            <w:tcW w:w="1447"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50-200 t </w:t>
            </w:r>
          </w:p>
        </w:tc>
        <w:tc>
          <w:tcPr>
            <w:tcW w:w="879"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3 </w:t>
            </w:r>
          </w:p>
        </w:tc>
      </w:tr>
      <w:tr w:rsidR="00DD4E69" w:rsidRPr="00740D93" w:rsidTr="00740D93">
        <w:trPr>
          <w:trHeight w:val="157"/>
          <w:jc w:val="center"/>
        </w:trPr>
        <w:tc>
          <w:tcPr>
            <w:tcW w:w="1447"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200-500 t </w:t>
            </w:r>
          </w:p>
        </w:tc>
        <w:tc>
          <w:tcPr>
            <w:tcW w:w="879"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4 </w:t>
            </w:r>
          </w:p>
        </w:tc>
      </w:tr>
    </w:tbl>
    <w:p w:rsidR="00DD4E69" w:rsidRPr="00740D93" w:rsidRDefault="00DD4E69" w:rsidP="00DD4E69">
      <w:pPr>
        <w:spacing w:after="0"/>
      </w:pPr>
      <w:r w:rsidRPr="00740D93">
        <w:lastRenderedPageBreak/>
        <w:t>Table 4f. Process Temperature</w:t>
      </w:r>
    </w:p>
    <w:tbl>
      <w:tblPr>
        <w:tblW w:w="0" w:type="auto"/>
        <w:jc w:val="center"/>
        <w:tblBorders>
          <w:top w:val="single" w:sz="4" w:space="0" w:color="auto"/>
          <w:bottom w:val="single" w:sz="4" w:space="0" w:color="auto"/>
          <w:insideH w:val="dotted" w:sz="4" w:space="0" w:color="auto"/>
        </w:tblBorders>
        <w:tblLayout w:type="fixed"/>
        <w:tblLook w:val="0000" w:firstRow="0" w:lastRow="0" w:firstColumn="0" w:lastColumn="0" w:noHBand="0" w:noVBand="0"/>
      </w:tblPr>
      <w:tblGrid>
        <w:gridCol w:w="2531"/>
        <w:gridCol w:w="879"/>
      </w:tblGrid>
      <w:tr w:rsidR="00DD4E69" w:rsidRPr="00740D93" w:rsidTr="00740D93">
        <w:trPr>
          <w:trHeight w:val="20"/>
          <w:jc w:val="center"/>
        </w:trPr>
        <w:tc>
          <w:tcPr>
            <w:tcW w:w="2531" w:type="dxa"/>
            <w:shd w:val="clear" w:color="auto" w:fill="000000" w:themeFill="text1"/>
          </w:tcPr>
          <w:p w:rsidR="00DD4E69" w:rsidRPr="00740D93" w:rsidRDefault="00DD4E69" w:rsidP="00CF6C04">
            <w:pPr>
              <w:autoSpaceDE w:val="0"/>
              <w:autoSpaceDN w:val="0"/>
              <w:adjustRightInd w:val="0"/>
              <w:spacing w:after="0" w:line="240" w:lineRule="auto"/>
              <w:jc w:val="center"/>
              <w:rPr>
                <w:rFonts w:cs="Times New Roman"/>
                <w:color w:val="FFFFFF" w:themeColor="background1"/>
              </w:rPr>
            </w:pPr>
            <w:r w:rsidRPr="00740D93">
              <w:rPr>
                <w:rFonts w:cs="Times New Roman"/>
                <w:b/>
                <w:bCs/>
                <w:color w:val="FFFFFF" w:themeColor="background1"/>
              </w:rPr>
              <w:t>Process Temperature, I</w:t>
            </w:r>
            <w:r w:rsidRPr="00740D93">
              <w:rPr>
                <w:rFonts w:cs="Times New Roman"/>
                <w:b/>
                <w:bCs/>
                <w:color w:val="FFFFFF" w:themeColor="background1"/>
                <w:position w:val="-8"/>
                <w:vertAlign w:val="subscript"/>
              </w:rPr>
              <w:t xml:space="preserve">T </w:t>
            </w:r>
          </w:p>
        </w:tc>
        <w:tc>
          <w:tcPr>
            <w:tcW w:w="879" w:type="dxa"/>
            <w:shd w:val="clear" w:color="auto" w:fill="000000" w:themeFill="text1"/>
          </w:tcPr>
          <w:p w:rsidR="00DD4E69" w:rsidRPr="00740D93" w:rsidRDefault="00DD4E69" w:rsidP="00CF6C04">
            <w:pPr>
              <w:autoSpaceDE w:val="0"/>
              <w:autoSpaceDN w:val="0"/>
              <w:adjustRightInd w:val="0"/>
              <w:spacing w:after="0" w:line="240" w:lineRule="auto"/>
              <w:jc w:val="center"/>
              <w:rPr>
                <w:rFonts w:cs="Times New Roman"/>
                <w:color w:val="FFFFFF" w:themeColor="background1"/>
              </w:rPr>
            </w:pPr>
            <w:r w:rsidRPr="00740D93">
              <w:rPr>
                <w:rFonts w:cs="Times New Roman"/>
                <w:b/>
                <w:bCs/>
                <w:color w:val="FFFFFF" w:themeColor="background1"/>
              </w:rPr>
              <w:t xml:space="preserve">Score </w:t>
            </w:r>
          </w:p>
        </w:tc>
      </w:tr>
      <w:tr w:rsidR="00DD4E69" w:rsidRPr="00740D93" w:rsidTr="00740D93">
        <w:trPr>
          <w:trHeight w:val="20"/>
          <w:jc w:val="center"/>
        </w:trPr>
        <w:tc>
          <w:tcPr>
            <w:tcW w:w="2531"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&lt; 0 </w:t>
            </w:r>
            <w:r w:rsidRPr="00740D93">
              <w:rPr>
                <w:rFonts w:cs="Times New Roman"/>
                <w:color w:val="000000"/>
                <w:position w:val="8"/>
                <w:vertAlign w:val="superscript"/>
              </w:rPr>
              <w:t>o</w:t>
            </w:r>
            <w:r w:rsidRPr="00740D93">
              <w:rPr>
                <w:rFonts w:cs="Times New Roman"/>
                <w:color w:val="000000"/>
              </w:rPr>
              <w:t xml:space="preserve">C </w:t>
            </w:r>
          </w:p>
        </w:tc>
        <w:tc>
          <w:tcPr>
            <w:tcW w:w="879"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1 </w:t>
            </w:r>
          </w:p>
        </w:tc>
      </w:tr>
      <w:tr w:rsidR="00DD4E69" w:rsidRPr="00740D93" w:rsidTr="00740D93">
        <w:trPr>
          <w:trHeight w:val="20"/>
          <w:jc w:val="center"/>
        </w:trPr>
        <w:tc>
          <w:tcPr>
            <w:tcW w:w="2531"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0-70 </w:t>
            </w:r>
            <w:r w:rsidRPr="00740D93">
              <w:rPr>
                <w:rFonts w:cs="Times New Roman"/>
                <w:color w:val="000000"/>
                <w:position w:val="8"/>
                <w:vertAlign w:val="superscript"/>
              </w:rPr>
              <w:t>o</w:t>
            </w:r>
            <w:r w:rsidRPr="00740D93">
              <w:rPr>
                <w:rFonts w:cs="Times New Roman"/>
                <w:color w:val="000000"/>
              </w:rPr>
              <w:t xml:space="preserve">C </w:t>
            </w:r>
          </w:p>
        </w:tc>
        <w:tc>
          <w:tcPr>
            <w:tcW w:w="879"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0 </w:t>
            </w:r>
          </w:p>
        </w:tc>
      </w:tr>
      <w:tr w:rsidR="00DD4E69" w:rsidRPr="00740D93" w:rsidTr="00740D93">
        <w:trPr>
          <w:trHeight w:val="20"/>
          <w:jc w:val="center"/>
        </w:trPr>
        <w:tc>
          <w:tcPr>
            <w:tcW w:w="2531"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70-150 </w:t>
            </w:r>
            <w:r w:rsidRPr="00740D93">
              <w:rPr>
                <w:rFonts w:cs="Times New Roman"/>
                <w:color w:val="000000"/>
                <w:position w:val="8"/>
                <w:vertAlign w:val="superscript"/>
              </w:rPr>
              <w:t>o</w:t>
            </w:r>
            <w:r w:rsidRPr="00740D93">
              <w:rPr>
                <w:rFonts w:cs="Times New Roman"/>
                <w:color w:val="000000"/>
              </w:rPr>
              <w:t xml:space="preserve">C </w:t>
            </w:r>
          </w:p>
        </w:tc>
        <w:tc>
          <w:tcPr>
            <w:tcW w:w="879"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1 </w:t>
            </w:r>
          </w:p>
        </w:tc>
      </w:tr>
      <w:tr w:rsidR="00DD4E69" w:rsidRPr="00740D93" w:rsidTr="00740D93">
        <w:trPr>
          <w:trHeight w:val="20"/>
          <w:jc w:val="center"/>
        </w:trPr>
        <w:tc>
          <w:tcPr>
            <w:tcW w:w="2531"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150-300 </w:t>
            </w:r>
            <w:r w:rsidRPr="00740D93">
              <w:rPr>
                <w:rFonts w:cs="Times New Roman"/>
                <w:color w:val="000000"/>
                <w:position w:val="8"/>
                <w:vertAlign w:val="superscript"/>
              </w:rPr>
              <w:t>o</w:t>
            </w:r>
            <w:r w:rsidRPr="00740D93">
              <w:rPr>
                <w:rFonts w:cs="Times New Roman"/>
                <w:color w:val="000000"/>
              </w:rPr>
              <w:t xml:space="preserve">C </w:t>
            </w:r>
          </w:p>
        </w:tc>
        <w:tc>
          <w:tcPr>
            <w:tcW w:w="879"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2 </w:t>
            </w:r>
          </w:p>
        </w:tc>
      </w:tr>
      <w:tr w:rsidR="00DD4E69" w:rsidRPr="00740D93" w:rsidTr="00740D93">
        <w:trPr>
          <w:trHeight w:val="20"/>
          <w:jc w:val="center"/>
        </w:trPr>
        <w:tc>
          <w:tcPr>
            <w:tcW w:w="2531"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300-600 </w:t>
            </w:r>
            <w:r w:rsidRPr="00740D93">
              <w:rPr>
                <w:rFonts w:cs="Times New Roman"/>
                <w:color w:val="000000"/>
                <w:position w:val="8"/>
                <w:vertAlign w:val="superscript"/>
              </w:rPr>
              <w:t>o</w:t>
            </w:r>
            <w:r w:rsidRPr="00740D93">
              <w:rPr>
                <w:rFonts w:cs="Times New Roman"/>
                <w:color w:val="000000"/>
              </w:rPr>
              <w:t xml:space="preserve">C </w:t>
            </w:r>
          </w:p>
        </w:tc>
        <w:tc>
          <w:tcPr>
            <w:tcW w:w="879"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3 </w:t>
            </w:r>
          </w:p>
        </w:tc>
      </w:tr>
      <w:tr w:rsidR="00DD4E69" w:rsidRPr="00740D93" w:rsidTr="00740D93">
        <w:trPr>
          <w:trHeight w:val="20"/>
          <w:jc w:val="center"/>
        </w:trPr>
        <w:tc>
          <w:tcPr>
            <w:tcW w:w="2531"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&gt;600 </w:t>
            </w:r>
            <w:r w:rsidRPr="00740D93">
              <w:rPr>
                <w:rFonts w:cs="Times New Roman"/>
                <w:color w:val="000000"/>
                <w:position w:val="8"/>
                <w:vertAlign w:val="superscript"/>
              </w:rPr>
              <w:t>o</w:t>
            </w:r>
          </w:p>
        </w:tc>
        <w:tc>
          <w:tcPr>
            <w:tcW w:w="879"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4 </w:t>
            </w:r>
          </w:p>
        </w:tc>
      </w:tr>
    </w:tbl>
    <w:p w:rsidR="00DD4E69" w:rsidRPr="00740D93" w:rsidRDefault="00DD4E69" w:rsidP="00DD4E69">
      <w:pPr>
        <w:autoSpaceDE w:val="0"/>
        <w:autoSpaceDN w:val="0"/>
        <w:adjustRightInd w:val="0"/>
        <w:spacing w:after="0" w:line="240" w:lineRule="auto"/>
        <w:rPr>
          <w:rFonts w:cs="Times New Roman"/>
        </w:rPr>
      </w:pPr>
      <w:r w:rsidRPr="00740D93">
        <w:rPr>
          <w:rFonts w:cs="Times New Roman"/>
        </w:rPr>
        <w:t>Table 4g. Process Pressure</w:t>
      </w:r>
    </w:p>
    <w:tbl>
      <w:tblPr>
        <w:tblW w:w="3179" w:type="dxa"/>
        <w:jc w:val="center"/>
        <w:tblBorders>
          <w:top w:val="single" w:sz="4" w:space="0" w:color="auto"/>
          <w:bottom w:val="single" w:sz="4" w:space="0" w:color="auto"/>
          <w:insideH w:val="dotted" w:sz="4" w:space="0" w:color="auto"/>
        </w:tblBorders>
        <w:tblLayout w:type="fixed"/>
        <w:tblLook w:val="0000" w:firstRow="0" w:lastRow="0" w:firstColumn="0" w:lastColumn="0" w:noHBand="0" w:noVBand="0"/>
      </w:tblPr>
      <w:tblGrid>
        <w:gridCol w:w="2241"/>
        <w:gridCol w:w="938"/>
      </w:tblGrid>
      <w:tr w:rsidR="00DD4E69" w:rsidRPr="00740D93" w:rsidTr="00740D93">
        <w:trPr>
          <w:trHeight w:val="163"/>
          <w:jc w:val="center"/>
        </w:trPr>
        <w:tc>
          <w:tcPr>
            <w:tcW w:w="2241" w:type="dxa"/>
            <w:shd w:val="clear" w:color="auto" w:fill="000000" w:themeFill="text1"/>
          </w:tcPr>
          <w:p w:rsidR="00DD4E69" w:rsidRPr="00740D93" w:rsidRDefault="00DD4E69" w:rsidP="00CF6C04">
            <w:pPr>
              <w:autoSpaceDE w:val="0"/>
              <w:autoSpaceDN w:val="0"/>
              <w:adjustRightInd w:val="0"/>
              <w:spacing w:after="0" w:line="240" w:lineRule="auto"/>
              <w:jc w:val="center"/>
              <w:rPr>
                <w:rFonts w:cs="Times New Roman"/>
                <w:color w:val="FFFFFF" w:themeColor="background1"/>
              </w:rPr>
            </w:pPr>
            <w:r w:rsidRPr="00740D93">
              <w:rPr>
                <w:rFonts w:cs="Times New Roman"/>
                <w:b/>
                <w:bCs/>
                <w:color w:val="FFFFFF" w:themeColor="background1"/>
              </w:rPr>
              <w:t>Process Pressure, I</w:t>
            </w:r>
            <w:r w:rsidRPr="00740D93">
              <w:rPr>
                <w:rFonts w:cs="Times New Roman"/>
                <w:b/>
                <w:bCs/>
                <w:color w:val="FFFFFF" w:themeColor="background1"/>
                <w:position w:val="-8"/>
                <w:vertAlign w:val="subscript"/>
              </w:rPr>
              <w:t xml:space="preserve">P </w:t>
            </w:r>
          </w:p>
        </w:tc>
        <w:tc>
          <w:tcPr>
            <w:tcW w:w="938" w:type="dxa"/>
            <w:shd w:val="clear" w:color="auto" w:fill="000000" w:themeFill="text1"/>
          </w:tcPr>
          <w:p w:rsidR="00DD4E69" w:rsidRPr="00740D93" w:rsidRDefault="00DD4E69" w:rsidP="00CF6C04">
            <w:pPr>
              <w:autoSpaceDE w:val="0"/>
              <w:autoSpaceDN w:val="0"/>
              <w:adjustRightInd w:val="0"/>
              <w:spacing w:after="0" w:line="240" w:lineRule="auto"/>
              <w:jc w:val="center"/>
              <w:rPr>
                <w:rFonts w:cs="Times New Roman"/>
                <w:color w:val="FFFFFF" w:themeColor="background1"/>
              </w:rPr>
            </w:pPr>
            <w:r w:rsidRPr="00740D93">
              <w:rPr>
                <w:rFonts w:cs="Times New Roman"/>
                <w:b/>
                <w:bCs/>
                <w:color w:val="FFFFFF" w:themeColor="background1"/>
              </w:rPr>
              <w:t xml:space="preserve">Score </w:t>
            </w:r>
          </w:p>
        </w:tc>
      </w:tr>
      <w:tr w:rsidR="00DD4E69" w:rsidRPr="00740D93" w:rsidTr="00740D93">
        <w:trPr>
          <w:trHeight w:val="157"/>
          <w:jc w:val="center"/>
        </w:trPr>
        <w:tc>
          <w:tcPr>
            <w:tcW w:w="2241"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0.5-5 bar </w:t>
            </w:r>
          </w:p>
        </w:tc>
        <w:tc>
          <w:tcPr>
            <w:tcW w:w="938"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0 </w:t>
            </w:r>
          </w:p>
        </w:tc>
      </w:tr>
      <w:tr w:rsidR="00DD4E69" w:rsidRPr="00740D93" w:rsidTr="00740D93">
        <w:trPr>
          <w:trHeight w:val="157"/>
          <w:jc w:val="center"/>
        </w:trPr>
        <w:tc>
          <w:tcPr>
            <w:tcW w:w="2241"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0-0.5 or 5-25 bar </w:t>
            </w:r>
          </w:p>
        </w:tc>
        <w:tc>
          <w:tcPr>
            <w:tcW w:w="938"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1 </w:t>
            </w:r>
          </w:p>
        </w:tc>
      </w:tr>
      <w:tr w:rsidR="00DD4E69" w:rsidRPr="00740D93" w:rsidTr="00740D93">
        <w:trPr>
          <w:trHeight w:val="157"/>
          <w:jc w:val="center"/>
        </w:trPr>
        <w:tc>
          <w:tcPr>
            <w:tcW w:w="2241"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25-50 bar </w:t>
            </w:r>
          </w:p>
        </w:tc>
        <w:tc>
          <w:tcPr>
            <w:tcW w:w="938"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2 </w:t>
            </w:r>
          </w:p>
        </w:tc>
      </w:tr>
      <w:tr w:rsidR="00DD4E69" w:rsidRPr="00740D93" w:rsidTr="00740D93">
        <w:trPr>
          <w:trHeight w:val="157"/>
          <w:jc w:val="center"/>
        </w:trPr>
        <w:tc>
          <w:tcPr>
            <w:tcW w:w="2241"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50-200 bar </w:t>
            </w:r>
          </w:p>
        </w:tc>
        <w:tc>
          <w:tcPr>
            <w:tcW w:w="938"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3 </w:t>
            </w:r>
          </w:p>
        </w:tc>
      </w:tr>
      <w:tr w:rsidR="00DD4E69" w:rsidRPr="00740D93" w:rsidTr="00740D93">
        <w:trPr>
          <w:trHeight w:val="157"/>
          <w:jc w:val="center"/>
        </w:trPr>
        <w:tc>
          <w:tcPr>
            <w:tcW w:w="2241"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200-1000 bar </w:t>
            </w:r>
          </w:p>
        </w:tc>
        <w:tc>
          <w:tcPr>
            <w:tcW w:w="938"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4 </w:t>
            </w:r>
          </w:p>
        </w:tc>
      </w:tr>
    </w:tbl>
    <w:p w:rsidR="00DD4E69" w:rsidRPr="00740D93" w:rsidRDefault="00DD4E69" w:rsidP="00DD4E69">
      <w:pPr>
        <w:spacing w:after="0"/>
      </w:pPr>
    </w:p>
    <w:p w:rsidR="00DD4E69" w:rsidRPr="00740D93" w:rsidRDefault="00DD4E69" w:rsidP="00DD4E69">
      <w:pPr>
        <w:spacing w:after="0"/>
      </w:pPr>
      <w:r w:rsidRPr="00740D93">
        <w:t>Table 4h. Equipment Safety</w:t>
      </w:r>
    </w:p>
    <w:tbl>
      <w:tblPr>
        <w:tblW w:w="6172" w:type="dxa"/>
        <w:jc w:val="center"/>
        <w:tblBorders>
          <w:top w:val="single" w:sz="4" w:space="0" w:color="auto"/>
          <w:bottom w:val="single" w:sz="4" w:space="0" w:color="auto"/>
          <w:insideH w:val="dotted" w:sz="4" w:space="0" w:color="auto"/>
        </w:tblBorders>
        <w:tblLayout w:type="fixed"/>
        <w:tblLook w:val="0000" w:firstRow="0" w:lastRow="0" w:firstColumn="0" w:lastColumn="0" w:noHBand="0" w:noVBand="0"/>
      </w:tblPr>
      <w:tblGrid>
        <w:gridCol w:w="5293"/>
        <w:gridCol w:w="879"/>
      </w:tblGrid>
      <w:tr w:rsidR="00DD4E69" w:rsidRPr="00740D93" w:rsidTr="00740D93">
        <w:trPr>
          <w:trHeight w:val="163"/>
          <w:jc w:val="center"/>
        </w:trPr>
        <w:tc>
          <w:tcPr>
            <w:tcW w:w="5293" w:type="dxa"/>
            <w:shd w:val="clear" w:color="auto" w:fill="000000" w:themeFill="text1"/>
          </w:tcPr>
          <w:p w:rsidR="00DD4E69" w:rsidRPr="00740D93" w:rsidRDefault="00DD4E69" w:rsidP="00CF6C04">
            <w:pPr>
              <w:autoSpaceDE w:val="0"/>
              <w:autoSpaceDN w:val="0"/>
              <w:adjustRightInd w:val="0"/>
              <w:spacing w:after="0" w:line="240" w:lineRule="auto"/>
              <w:jc w:val="center"/>
              <w:rPr>
                <w:rFonts w:cs="Times New Roman"/>
                <w:color w:val="FFFFFF" w:themeColor="background1"/>
              </w:rPr>
            </w:pPr>
            <w:r w:rsidRPr="00740D93">
              <w:rPr>
                <w:rFonts w:cs="Times New Roman"/>
                <w:b/>
                <w:bCs/>
                <w:color w:val="FFFFFF" w:themeColor="background1"/>
              </w:rPr>
              <w:t>Equipment Safety, I</w:t>
            </w:r>
            <w:r w:rsidRPr="00740D93">
              <w:rPr>
                <w:rFonts w:cs="Times New Roman"/>
                <w:b/>
                <w:bCs/>
                <w:color w:val="FFFFFF" w:themeColor="background1"/>
                <w:position w:val="-8"/>
                <w:vertAlign w:val="subscript"/>
              </w:rPr>
              <w:t xml:space="preserve">EQ </w:t>
            </w:r>
          </w:p>
        </w:tc>
        <w:tc>
          <w:tcPr>
            <w:tcW w:w="879" w:type="dxa"/>
            <w:shd w:val="clear" w:color="auto" w:fill="000000" w:themeFill="text1"/>
          </w:tcPr>
          <w:p w:rsidR="00DD4E69" w:rsidRPr="00740D93" w:rsidRDefault="00DD4E69" w:rsidP="00CF6C04">
            <w:pPr>
              <w:autoSpaceDE w:val="0"/>
              <w:autoSpaceDN w:val="0"/>
              <w:adjustRightInd w:val="0"/>
              <w:spacing w:after="0" w:line="240" w:lineRule="auto"/>
              <w:jc w:val="center"/>
              <w:rPr>
                <w:rFonts w:cs="Times New Roman"/>
                <w:color w:val="FFFFFF" w:themeColor="background1"/>
              </w:rPr>
            </w:pPr>
            <w:r w:rsidRPr="00740D93">
              <w:rPr>
                <w:rFonts w:cs="Times New Roman"/>
                <w:b/>
                <w:bCs/>
                <w:color w:val="FFFFFF" w:themeColor="background1"/>
              </w:rPr>
              <w:t xml:space="preserve">Score </w:t>
            </w:r>
          </w:p>
        </w:tc>
      </w:tr>
      <w:tr w:rsidR="00DD4E69" w:rsidRPr="00740D93" w:rsidTr="00740D93">
        <w:trPr>
          <w:trHeight w:val="157"/>
          <w:jc w:val="center"/>
        </w:trPr>
        <w:tc>
          <w:tcPr>
            <w:tcW w:w="5293" w:type="dxa"/>
          </w:tcPr>
          <w:p w:rsidR="00DD4E69" w:rsidRPr="00740D93" w:rsidRDefault="00DD4E69" w:rsidP="00CF6C04">
            <w:pPr>
              <w:autoSpaceDE w:val="0"/>
              <w:autoSpaceDN w:val="0"/>
              <w:adjustRightInd w:val="0"/>
              <w:spacing w:after="0" w:line="240" w:lineRule="auto"/>
              <w:rPr>
                <w:rFonts w:cs="Times New Roman"/>
                <w:color w:val="000000"/>
              </w:rPr>
            </w:pPr>
            <w:r w:rsidRPr="00740D93">
              <w:rPr>
                <w:rFonts w:cs="Times New Roman"/>
                <w:color w:val="000000"/>
              </w:rPr>
              <w:t xml:space="preserve">Equipment handling nonflammable, nontoxic materials </w:t>
            </w:r>
          </w:p>
        </w:tc>
        <w:tc>
          <w:tcPr>
            <w:tcW w:w="879"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0 </w:t>
            </w:r>
          </w:p>
        </w:tc>
      </w:tr>
      <w:tr w:rsidR="00DD4E69" w:rsidRPr="00740D93" w:rsidTr="00740D93">
        <w:trPr>
          <w:trHeight w:val="157"/>
          <w:jc w:val="center"/>
        </w:trPr>
        <w:tc>
          <w:tcPr>
            <w:tcW w:w="5293" w:type="dxa"/>
          </w:tcPr>
          <w:p w:rsidR="00DD4E69" w:rsidRPr="00740D93" w:rsidRDefault="00DD4E69" w:rsidP="00CF6C04">
            <w:pPr>
              <w:autoSpaceDE w:val="0"/>
              <w:autoSpaceDN w:val="0"/>
              <w:adjustRightInd w:val="0"/>
              <w:spacing w:after="0" w:line="240" w:lineRule="auto"/>
              <w:rPr>
                <w:rFonts w:cs="Times New Roman"/>
                <w:color w:val="000000"/>
              </w:rPr>
            </w:pPr>
            <w:r w:rsidRPr="00740D93">
              <w:rPr>
                <w:rFonts w:cs="Times New Roman"/>
                <w:color w:val="000000"/>
              </w:rPr>
              <w:t xml:space="preserve">Heat exchangers, pumps, towers, drums </w:t>
            </w:r>
          </w:p>
        </w:tc>
        <w:tc>
          <w:tcPr>
            <w:tcW w:w="879"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1 </w:t>
            </w:r>
          </w:p>
        </w:tc>
      </w:tr>
      <w:tr w:rsidR="00DD4E69" w:rsidRPr="00740D93" w:rsidTr="00740D93">
        <w:trPr>
          <w:trHeight w:val="157"/>
          <w:jc w:val="center"/>
        </w:trPr>
        <w:tc>
          <w:tcPr>
            <w:tcW w:w="5293" w:type="dxa"/>
          </w:tcPr>
          <w:p w:rsidR="00DD4E69" w:rsidRPr="00740D93" w:rsidRDefault="00DD4E69" w:rsidP="00CF6C04">
            <w:pPr>
              <w:autoSpaceDE w:val="0"/>
              <w:autoSpaceDN w:val="0"/>
              <w:adjustRightInd w:val="0"/>
              <w:spacing w:after="0" w:line="240" w:lineRule="auto"/>
              <w:rPr>
                <w:rFonts w:cs="Times New Roman"/>
                <w:color w:val="000000"/>
              </w:rPr>
            </w:pPr>
            <w:r w:rsidRPr="00740D93">
              <w:rPr>
                <w:rFonts w:cs="Times New Roman"/>
                <w:color w:val="000000"/>
              </w:rPr>
              <w:t xml:space="preserve">Air coolers, reactors, high hazard pumps </w:t>
            </w:r>
          </w:p>
        </w:tc>
        <w:tc>
          <w:tcPr>
            <w:tcW w:w="879"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2 </w:t>
            </w:r>
          </w:p>
        </w:tc>
      </w:tr>
      <w:tr w:rsidR="00DD4E69" w:rsidRPr="00740D93" w:rsidTr="00740D93">
        <w:trPr>
          <w:trHeight w:val="157"/>
          <w:jc w:val="center"/>
        </w:trPr>
        <w:tc>
          <w:tcPr>
            <w:tcW w:w="5293" w:type="dxa"/>
          </w:tcPr>
          <w:p w:rsidR="00DD4E69" w:rsidRPr="00740D93" w:rsidRDefault="00DD4E69" w:rsidP="00CF6C04">
            <w:pPr>
              <w:autoSpaceDE w:val="0"/>
              <w:autoSpaceDN w:val="0"/>
              <w:adjustRightInd w:val="0"/>
              <w:spacing w:after="0" w:line="240" w:lineRule="auto"/>
              <w:rPr>
                <w:rFonts w:cs="Times New Roman"/>
                <w:color w:val="000000"/>
              </w:rPr>
            </w:pPr>
            <w:r w:rsidRPr="00740D93">
              <w:rPr>
                <w:rFonts w:cs="Times New Roman"/>
                <w:color w:val="000000"/>
              </w:rPr>
              <w:t xml:space="preserve">Compressors, high hazard reactors </w:t>
            </w:r>
          </w:p>
        </w:tc>
        <w:tc>
          <w:tcPr>
            <w:tcW w:w="879"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3 </w:t>
            </w:r>
          </w:p>
        </w:tc>
      </w:tr>
      <w:tr w:rsidR="00DD4E69" w:rsidRPr="00740D93" w:rsidTr="00740D93">
        <w:trPr>
          <w:trHeight w:val="157"/>
          <w:jc w:val="center"/>
        </w:trPr>
        <w:tc>
          <w:tcPr>
            <w:tcW w:w="5293" w:type="dxa"/>
          </w:tcPr>
          <w:p w:rsidR="00DD4E69" w:rsidRPr="00740D93" w:rsidRDefault="00DD4E69" w:rsidP="00CF6C04">
            <w:pPr>
              <w:autoSpaceDE w:val="0"/>
              <w:autoSpaceDN w:val="0"/>
              <w:adjustRightInd w:val="0"/>
              <w:spacing w:after="0" w:line="240" w:lineRule="auto"/>
              <w:rPr>
                <w:rFonts w:cs="Times New Roman"/>
                <w:color w:val="000000"/>
              </w:rPr>
            </w:pPr>
            <w:r w:rsidRPr="00740D93">
              <w:rPr>
                <w:rFonts w:cs="Times New Roman"/>
                <w:color w:val="000000"/>
              </w:rPr>
              <w:t xml:space="preserve">Furnaces, fired heaters </w:t>
            </w:r>
          </w:p>
        </w:tc>
        <w:tc>
          <w:tcPr>
            <w:tcW w:w="879" w:type="dxa"/>
          </w:tcPr>
          <w:p w:rsidR="00DD4E69" w:rsidRPr="00740D93" w:rsidRDefault="00DD4E69" w:rsidP="00CF6C04">
            <w:pPr>
              <w:autoSpaceDE w:val="0"/>
              <w:autoSpaceDN w:val="0"/>
              <w:adjustRightInd w:val="0"/>
              <w:spacing w:after="0" w:line="240" w:lineRule="auto"/>
              <w:jc w:val="center"/>
              <w:rPr>
                <w:rFonts w:cs="Times New Roman"/>
                <w:color w:val="000000"/>
              </w:rPr>
            </w:pPr>
            <w:r w:rsidRPr="00740D93">
              <w:rPr>
                <w:rFonts w:cs="Times New Roman"/>
                <w:color w:val="000000"/>
              </w:rPr>
              <w:t xml:space="preserve">4 </w:t>
            </w:r>
          </w:p>
        </w:tc>
      </w:tr>
    </w:tbl>
    <w:p w:rsidR="00DD4E69" w:rsidRPr="00740D93" w:rsidRDefault="00DD4E69" w:rsidP="003B3123">
      <w:pPr>
        <w:rPr>
          <w:lang w:eastAsia="zh-CN"/>
        </w:rPr>
      </w:pPr>
    </w:p>
    <w:sectPr w:rsidR="00DD4E69" w:rsidRPr="00740D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D19D1"/>
    <w:multiLevelType w:val="hybridMultilevel"/>
    <w:tmpl w:val="495A9706"/>
    <w:lvl w:ilvl="0" w:tplc="4A1431B6">
      <w:start w:val="1"/>
      <w:numFmt w:val="bullet"/>
      <w:lvlText w:val="•"/>
      <w:lvlJc w:val="left"/>
      <w:pPr>
        <w:tabs>
          <w:tab w:val="num" w:pos="720"/>
        </w:tabs>
        <w:ind w:left="720" w:hanging="360"/>
      </w:pPr>
      <w:rPr>
        <w:rFonts w:ascii="Times New Roman" w:hAnsi="Times New Roman" w:hint="default"/>
      </w:rPr>
    </w:lvl>
    <w:lvl w:ilvl="1" w:tplc="5FFEF320" w:tentative="1">
      <w:start w:val="1"/>
      <w:numFmt w:val="bullet"/>
      <w:lvlText w:val="•"/>
      <w:lvlJc w:val="left"/>
      <w:pPr>
        <w:tabs>
          <w:tab w:val="num" w:pos="1440"/>
        </w:tabs>
        <w:ind w:left="1440" w:hanging="360"/>
      </w:pPr>
      <w:rPr>
        <w:rFonts w:ascii="Times New Roman" w:hAnsi="Times New Roman" w:hint="default"/>
      </w:rPr>
    </w:lvl>
    <w:lvl w:ilvl="2" w:tplc="BD8081F8" w:tentative="1">
      <w:start w:val="1"/>
      <w:numFmt w:val="bullet"/>
      <w:lvlText w:val="•"/>
      <w:lvlJc w:val="left"/>
      <w:pPr>
        <w:tabs>
          <w:tab w:val="num" w:pos="2160"/>
        </w:tabs>
        <w:ind w:left="2160" w:hanging="360"/>
      </w:pPr>
      <w:rPr>
        <w:rFonts w:ascii="Times New Roman" w:hAnsi="Times New Roman" w:hint="default"/>
      </w:rPr>
    </w:lvl>
    <w:lvl w:ilvl="3" w:tplc="A9FA8258" w:tentative="1">
      <w:start w:val="1"/>
      <w:numFmt w:val="bullet"/>
      <w:lvlText w:val="•"/>
      <w:lvlJc w:val="left"/>
      <w:pPr>
        <w:tabs>
          <w:tab w:val="num" w:pos="2880"/>
        </w:tabs>
        <w:ind w:left="2880" w:hanging="360"/>
      </w:pPr>
      <w:rPr>
        <w:rFonts w:ascii="Times New Roman" w:hAnsi="Times New Roman" w:hint="default"/>
      </w:rPr>
    </w:lvl>
    <w:lvl w:ilvl="4" w:tplc="E8F240A8" w:tentative="1">
      <w:start w:val="1"/>
      <w:numFmt w:val="bullet"/>
      <w:lvlText w:val="•"/>
      <w:lvlJc w:val="left"/>
      <w:pPr>
        <w:tabs>
          <w:tab w:val="num" w:pos="3600"/>
        </w:tabs>
        <w:ind w:left="3600" w:hanging="360"/>
      </w:pPr>
      <w:rPr>
        <w:rFonts w:ascii="Times New Roman" w:hAnsi="Times New Roman" w:hint="default"/>
      </w:rPr>
    </w:lvl>
    <w:lvl w:ilvl="5" w:tplc="F4089F78" w:tentative="1">
      <w:start w:val="1"/>
      <w:numFmt w:val="bullet"/>
      <w:lvlText w:val="•"/>
      <w:lvlJc w:val="left"/>
      <w:pPr>
        <w:tabs>
          <w:tab w:val="num" w:pos="4320"/>
        </w:tabs>
        <w:ind w:left="4320" w:hanging="360"/>
      </w:pPr>
      <w:rPr>
        <w:rFonts w:ascii="Times New Roman" w:hAnsi="Times New Roman" w:hint="default"/>
      </w:rPr>
    </w:lvl>
    <w:lvl w:ilvl="6" w:tplc="25884DFC" w:tentative="1">
      <w:start w:val="1"/>
      <w:numFmt w:val="bullet"/>
      <w:lvlText w:val="•"/>
      <w:lvlJc w:val="left"/>
      <w:pPr>
        <w:tabs>
          <w:tab w:val="num" w:pos="5040"/>
        </w:tabs>
        <w:ind w:left="5040" w:hanging="360"/>
      </w:pPr>
      <w:rPr>
        <w:rFonts w:ascii="Times New Roman" w:hAnsi="Times New Roman" w:hint="default"/>
      </w:rPr>
    </w:lvl>
    <w:lvl w:ilvl="7" w:tplc="0DBEA97A" w:tentative="1">
      <w:start w:val="1"/>
      <w:numFmt w:val="bullet"/>
      <w:lvlText w:val="•"/>
      <w:lvlJc w:val="left"/>
      <w:pPr>
        <w:tabs>
          <w:tab w:val="num" w:pos="5760"/>
        </w:tabs>
        <w:ind w:left="5760" w:hanging="360"/>
      </w:pPr>
      <w:rPr>
        <w:rFonts w:ascii="Times New Roman" w:hAnsi="Times New Roman" w:hint="default"/>
      </w:rPr>
    </w:lvl>
    <w:lvl w:ilvl="8" w:tplc="614E598A" w:tentative="1">
      <w:start w:val="1"/>
      <w:numFmt w:val="bullet"/>
      <w:lvlText w:val="•"/>
      <w:lvlJc w:val="left"/>
      <w:pPr>
        <w:tabs>
          <w:tab w:val="num" w:pos="6480"/>
        </w:tabs>
        <w:ind w:left="6480" w:hanging="360"/>
      </w:pPr>
      <w:rPr>
        <w:rFonts w:ascii="Times New Roman" w:hAnsi="Times New Roman" w:hint="default"/>
      </w:rPr>
    </w:lvl>
  </w:abstractNum>
  <w:abstractNum w:abstractNumId="1">
    <w:nsid w:val="560A73EA"/>
    <w:multiLevelType w:val="hybridMultilevel"/>
    <w:tmpl w:val="646C0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3500D0"/>
    <w:multiLevelType w:val="hybridMultilevel"/>
    <w:tmpl w:val="BF826FDA"/>
    <w:lvl w:ilvl="0" w:tplc="7B1C6640">
      <w:start w:val="1"/>
      <w:numFmt w:val="bullet"/>
      <w:lvlText w:val="•"/>
      <w:lvlJc w:val="left"/>
      <w:pPr>
        <w:tabs>
          <w:tab w:val="num" w:pos="720"/>
        </w:tabs>
        <w:ind w:left="720" w:hanging="360"/>
      </w:pPr>
      <w:rPr>
        <w:rFonts w:ascii="Times New Roman" w:hAnsi="Times New Roman" w:hint="default"/>
      </w:rPr>
    </w:lvl>
    <w:lvl w:ilvl="1" w:tplc="21844D5A" w:tentative="1">
      <w:start w:val="1"/>
      <w:numFmt w:val="bullet"/>
      <w:lvlText w:val="•"/>
      <w:lvlJc w:val="left"/>
      <w:pPr>
        <w:tabs>
          <w:tab w:val="num" w:pos="1440"/>
        </w:tabs>
        <w:ind w:left="1440" w:hanging="360"/>
      </w:pPr>
      <w:rPr>
        <w:rFonts w:ascii="Times New Roman" w:hAnsi="Times New Roman" w:hint="default"/>
      </w:rPr>
    </w:lvl>
    <w:lvl w:ilvl="2" w:tplc="ECD08856" w:tentative="1">
      <w:start w:val="1"/>
      <w:numFmt w:val="bullet"/>
      <w:lvlText w:val="•"/>
      <w:lvlJc w:val="left"/>
      <w:pPr>
        <w:tabs>
          <w:tab w:val="num" w:pos="2160"/>
        </w:tabs>
        <w:ind w:left="2160" w:hanging="360"/>
      </w:pPr>
      <w:rPr>
        <w:rFonts w:ascii="Times New Roman" w:hAnsi="Times New Roman" w:hint="default"/>
      </w:rPr>
    </w:lvl>
    <w:lvl w:ilvl="3" w:tplc="F2E2935A" w:tentative="1">
      <w:start w:val="1"/>
      <w:numFmt w:val="bullet"/>
      <w:lvlText w:val="•"/>
      <w:lvlJc w:val="left"/>
      <w:pPr>
        <w:tabs>
          <w:tab w:val="num" w:pos="2880"/>
        </w:tabs>
        <w:ind w:left="2880" w:hanging="360"/>
      </w:pPr>
      <w:rPr>
        <w:rFonts w:ascii="Times New Roman" w:hAnsi="Times New Roman" w:hint="default"/>
      </w:rPr>
    </w:lvl>
    <w:lvl w:ilvl="4" w:tplc="5C5CCC86" w:tentative="1">
      <w:start w:val="1"/>
      <w:numFmt w:val="bullet"/>
      <w:lvlText w:val="•"/>
      <w:lvlJc w:val="left"/>
      <w:pPr>
        <w:tabs>
          <w:tab w:val="num" w:pos="3600"/>
        </w:tabs>
        <w:ind w:left="3600" w:hanging="360"/>
      </w:pPr>
      <w:rPr>
        <w:rFonts w:ascii="Times New Roman" w:hAnsi="Times New Roman" w:hint="default"/>
      </w:rPr>
    </w:lvl>
    <w:lvl w:ilvl="5" w:tplc="AFB44044" w:tentative="1">
      <w:start w:val="1"/>
      <w:numFmt w:val="bullet"/>
      <w:lvlText w:val="•"/>
      <w:lvlJc w:val="left"/>
      <w:pPr>
        <w:tabs>
          <w:tab w:val="num" w:pos="4320"/>
        </w:tabs>
        <w:ind w:left="4320" w:hanging="360"/>
      </w:pPr>
      <w:rPr>
        <w:rFonts w:ascii="Times New Roman" w:hAnsi="Times New Roman" w:hint="default"/>
      </w:rPr>
    </w:lvl>
    <w:lvl w:ilvl="6" w:tplc="FAAAE5CC" w:tentative="1">
      <w:start w:val="1"/>
      <w:numFmt w:val="bullet"/>
      <w:lvlText w:val="•"/>
      <w:lvlJc w:val="left"/>
      <w:pPr>
        <w:tabs>
          <w:tab w:val="num" w:pos="5040"/>
        </w:tabs>
        <w:ind w:left="5040" w:hanging="360"/>
      </w:pPr>
      <w:rPr>
        <w:rFonts w:ascii="Times New Roman" w:hAnsi="Times New Roman" w:hint="default"/>
      </w:rPr>
    </w:lvl>
    <w:lvl w:ilvl="7" w:tplc="484C1084" w:tentative="1">
      <w:start w:val="1"/>
      <w:numFmt w:val="bullet"/>
      <w:lvlText w:val="•"/>
      <w:lvlJc w:val="left"/>
      <w:pPr>
        <w:tabs>
          <w:tab w:val="num" w:pos="5760"/>
        </w:tabs>
        <w:ind w:left="5760" w:hanging="360"/>
      </w:pPr>
      <w:rPr>
        <w:rFonts w:ascii="Times New Roman" w:hAnsi="Times New Roman" w:hint="default"/>
      </w:rPr>
    </w:lvl>
    <w:lvl w:ilvl="8" w:tplc="FB4A13EA" w:tentative="1">
      <w:start w:val="1"/>
      <w:numFmt w:val="bullet"/>
      <w:lvlText w:val="•"/>
      <w:lvlJc w:val="left"/>
      <w:pPr>
        <w:tabs>
          <w:tab w:val="num" w:pos="6480"/>
        </w:tabs>
        <w:ind w:left="6480" w:hanging="360"/>
      </w:pPr>
      <w:rPr>
        <w:rFonts w:ascii="Times New Roman" w:hAnsi="Times New Roman" w:hint="default"/>
      </w:rPr>
    </w:lvl>
  </w:abstractNum>
  <w:abstractNum w:abstractNumId="3">
    <w:nsid w:val="69F82FF2"/>
    <w:multiLevelType w:val="hybridMultilevel"/>
    <w:tmpl w:val="75C8E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E07"/>
    <w:rsid w:val="0000101D"/>
    <w:rsid w:val="00073FDF"/>
    <w:rsid w:val="000B4313"/>
    <w:rsid w:val="0010241B"/>
    <w:rsid w:val="00137DCA"/>
    <w:rsid w:val="001C437C"/>
    <w:rsid w:val="001C493A"/>
    <w:rsid w:val="001D532D"/>
    <w:rsid w:val="001F4E4E"/>
    <w:rsid w:val="00203F94"/>
    <w:rsid w:val="00216405"/>
    <w:rsid w:val="0024153E"/>
    <w:rsid w:val="00252D46"/>
    <w:rsid w:val="00284689"/>
    <w:rsid w:val="0028573D"/>
    <w:rsid w:val="002B4C0E"/>
    <w:rsid w:val="002E3B67"/>
    <w:rsid w:val="003855F7"/>
    <w:rsid w:val="00387E5B"/>
    <w:rsid w:val="003A30BE"/>
    <w:rsid w:val="003B3123"/>
    <w:rsid w:val="003C1D32"/>
    <w:rsid w:val="003C2E7E"/>
    <w:rsid w:val="003D0A26"/>
    <w:rsid w:val="003E2A13"/>
    <w:rsid w:val="00471E4A"/>
    <w:rsid w:val="004760A1"/>
    <w:rsid w:val="004B453F"/>
    <w:rsid w:val="004E3393"/>
    <w:rsid w:val="0056410B"/>
    <w:rsid w:val="00580277"/>
    <w:rsid w:val="005A045A"/>
    <w:rsid w:val="005B1041"/>
    <w:rsid w:val="005C5F39"/>
    <w:rsid w:val="005E2391"/>
    <w:rsid w:val="00600204"/>
    <w:rsid w:val="00620E07"/>
    <w:rsid w:val="00626841"/>
    <w:rsid w:val="00651027"/>
    <w:rsid w:val="00675596"/>
    <w:rsid w:val="006A1DE2"/>
    <w:rsid w:val="006A7BF3"/>
    <w:rsid w:val="006C345C"/>
    <w:rsid w:val="006E55FA"/>
    <w:rsid w:val="0070222F"/>
    <w:rsid w:val="00737623"/>
    <w:rsid w:val="00740D93"/>
    <w:rsid w:val="00763587"/>
    <w:rsid w:val="007767BB"/>
    <w:rsid w:val="007840D6"/>
    <w:rsid w:val="007C30B4"/>
    <w:rsid w:val="007C5491"/>
    <w:rsid w:val="007D3D7E"/>
    <w:rsid w:val="007E32BB"/>
    <w:rsid w:val="008161ED"/>
    <w:rsid w:val="008C632C"/>
    <w:rsid w:val="008F1FA2"/>
    <w:rsid w:val="0090565B"/>
    <w:rsid w:val="00917747"/>
    <w:rsid w:val="0096692E"/>
    <w:rsid w:val="009F1C6C"/>
    <w:rsid w:val="00A13B47"/>
    <w:rsid w:val="00A9489C"/>
    <w:rsid w:val="00AA0F76"/>
    <w:rsid w:val="00AE6A68"/>
    <w:rsid w:val="00B07C99"/>
    <w:rsid w:val="00BC541D"/>
    <w:rsid w:val="00C24B9C"/>
    <w:rsid w:val="00C73485"/>
    <w:rsid w:val="00C756EC"/>
    <w:rsid w:val="00CA06CD"/>
    <w:rsid w:val="00CA7941"/>
    <w:rsid w:val="00CB4A72"/>
    <w:rsid w:val="00CC0FC5"/>
    <w:rsid w:val="00CF6C04"/>
    <w:rsid w:val="00D02384"/>
    <w:rsid w:val="00D223BC"/>
    <w:rsid w:val="00D94ADC"/>
    <w:rsid w:val="00DC2222"/>
    <w:rsid w:val="00DD4514"/>
    <w:rsid w:val="00DD4E69"/>
    <w:rsid w:val="00E221C9"/>
    <w:rsid w:val="00E37256"/>
    <w:rsid w:val="00E46B3A"/>
    <w:rsid w:val="00E82059"/>
    <w:rsid w:val="00E96269"/>
    <w:rsid w:val="00EA0C58"/>
    <w:rsid w:val="00EE1A42"/>
    <w:rsid w:val="00EE709F"/>
    <w:rsid w:val="00F12447"/>
    <w:rsid w:val="00F21288"/>
    <w:rsid w:val="00F43318"/>
    <w:rsid w:val="00FE61F8"/>
    <w:rsid w:val="00FF13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3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2E7E"/>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6510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65102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alloonText">
    <w:name w:val="Balloon Text"/>
    <w:basedOn w:val="Normal"/>
    <w:link w:val="BalloonTextChar"/>
    <w:uiPriority w:val="99"/>
    <w:semiHidden/>
    <w:unhideWhenUsed/>
    <w:rsid w:val="00E22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1C9"/>
    <w:rPr>
      <w:rFonts w:ascii="Tahoma" w:hAnsi="Tahoma" w:cs="Tahoma"/>
      <w:sz w:val="16"/>
      <w:szCs w:val="16"/>
    </w:rPr>
  </w:style>
  <w:style w:type="paragraph" w:styleId="ListParagraph">
    <w:name w:val="List Paragraph"/>
    <w:basedOn w:val="Normal"/>
    <w:uiPriority w:val="34"/>
    <w:qFormat/>
    <w:rsid w:val="0070222F"/>
    <w:pPr>
      <w:ind w:left="720"/>
      <w:contextualSpacing/>
    </w:pPr>
  </w:style>
  <w:style w:type="character" w:styleId="CommentReference">
    <w:name w:val="annotation reference"/>
    <w:basedOn w:val="DefaultParagraphFont"/>
    <w:uiPriority w:val="99"/>
    <w:semiHidden/>
    <w:unhideWhenUsed/>
    <w:rsid w:val="001F4E4E"/>
    <w:rPr>
      <w:sz w:val="16"/>
      <w:szCs w:val="16"/>
    </w:rPr>
  </w:style>
  <w:style w:type="paragraph" w:styleId="CommentText">
    <w:name w:val="annotation text"/>
    <w:basedOn w:val="Normal"/>
    <w:link w:val="CommentTextChar"/>
    <w:uiPriority w:val="99"/>
    <w:semiHidden/>
    <w:unhideWhenUsed/>
    <w:rsid w:val="001F4E4E"/>
    <w:pPr>
      <w:spacing w:line="240" w:lineRule="auto"/>
    </w:pPr>
    <w:rPr>
      <w:sz w:val="20"/>
      <w:szCs w:val="20"/>
    </w:rPr>
  </w:style>
  <w:style w:type="character" w:customStyle="1" w:styleId="CommentTextChar">
    <w:name w:val="Comment Text Char"/>
    <w:basedOn w:val="DefaultParagraphFont"/>
    <w:link w:val="CommentText"/>
    <w:uiPriority w:val="99"/>
    <w:semiHidden/>
    <w:rsid w:val="001F4E4E"/>
    <w:rPr>
      <w:sz w:val="20"/>
      <w:szCs w:val="20"/>
    </w:rPr>
  </w:style>
  <w:style w:type="paragraph" w:styleId="CommentSubject">
    <w:name w:val="annotation subject"/>
    <w:basedOn w:val="CommentText"/>
    <w:next w:val="CommentText"/>
    <w:link w:val="CommentSubjectChar"/>
    <w:uiPriority w:val="99"/>
    <w:semiHidden/>
    <w:unhideWhenUsed/>
    <w:rsid w:val="001F4E4E"/>
    <w:rPr>
      <w:b/>
      <w:bCs/>
    </w:rPr>
  </w:style>
  <w:style w:type="character" w:customStyle="1" w:styleId="CommentSubjectChar">
    <w:name w:val="Comment Subject Char"/>
    <w:basedOn w:val="CommentTextChar"/>
    <w:link w:val="CommentSubject"/>
    <w:uiPriority w:val="99"/>
    <w:semiHidden/>
    <w:rsid w:val="001F4E4E"/>
    <w:rPr>
      <w:b/>
      <w:bCs/>
      <w:sz w:val="20"/>
      <w:szCs w:val="20"/>
    </w:rPr>
  </w:style>
  <w:style w:type="character" w:styleId="Hyperlink">
    <w:name w:val="Hyperlink"/>
    <w:basedOn w:val="DefaultParagraphFont"/>
    <w:uiPriority w:val="99"/>
    <w:unhideWhenUsed/>
    <w:rsid w:val="006A1DE2"/>
    <w:rPr>
      <w:color w:val="0000FF" w:themeColor="hyperlink"/>
      <w:u w:val="single"/>
    </w:rPr>
  </w:style>
  <w:style w:type="paragraph" w:styleId="NormalWeb">
    <w:name w:val="Normal (Web)"/>
    <w:basedOn w:val="Normal"/>
    <w:uiPriority w:val="99"/>
    <w:unhideWhenUsed/>
    <w:rsid w:val="0056410B"/>
    <w:pPr>
      <w:spacing w:before="100" w:beforeAutospacing="1" w:after="100" w:afterAutospacing="1" w:line="240" w:lineRule="auto"/>
    </w:pPr>
    <w:rPr>
      <w:rFonts w:ascii="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3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2E7E"/>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6510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65102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alloonText">
    <w:name w:val="Balloon Text"/>
    <w:basedOn w:val="Normal"/>
    <w:link w:val="BalloonTextChar"/>
    <w:uiPriority w:val="99"/>
    <w:semiHidden/>
    <w:unhideWhenUsed/>
    <w:rsid w:val="00E22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1C9"/>
    <w:rPr>
      <w:rFonts w:ascii="Tahoma" w:hAnsi="Tahoma" w:cs="Tahoma"/>
      <w:sz w:val="16"/>
      <w:szCs w:val="16"/>
    </w:rPr>
  </w:style>
  <w:style w:type="paragraph" w:styleId="ListParagraph">
    <w:name w:val="List Paragraph"/>
    <w:basedOn w:val="Normal"/>
    <w:uiPriority w:val="34"/>
    <w:qFormat/>
    <w:rsid w:val="0070222F"/>
    <w:pPr>
      <w:ind w:left="720"/>
      <w:contextualSpacing/>
    </w:pPr>
  </w:style>
  <w:style w:type="character" w:styleId="CommentReference">
    <w:name w:val="annotation reference"/>
    <w:basedOn w:val="DefaultParagraphFont"/>
    <w:uiPriority w:val="99"/>
    <w:semiHidden/>
    <w:unhideWhenUsed/>
    <w:rsid w:val="001F4E4E"/>
    <w:rPr>
      <w:sz w:val="16"/>
      <w:szCs w:val="16"/>
    </w:rPr>
  </w:style>
  <w:style w:type="paragraph" w:styleId="CommentText">
    <w:name w:val="annotation text"/>
    <w:basedOn w:val="Normal"/>
    <w:link w:val="CommentTextChar"/>
    <w:uiPriority w:val="99"/>
    <w:semiHidden/>
    <w:unhideWhenUsed/>
    <w:rsid w:val="001F4E4E"/>
    <w:pPr>
      <w:spacing w:line="240" w:lineRule="auto"/>
    </w:pPr>
    <w:rPr>
      <w:sz w:val="20"/>
      <w:szCs w:val="20"/>
    </w:rPr>
  </w:style>
  <w:style w:type="character" w:customStyle="1" w:styleId="CommentTextChar">
    <w:name w:val="Comment Text Char"/>
    <w:basedOn w:val="DefaultParagraphFont"/>
    <w:link w:val="CommentText"/>
    <w:uiPriority w:val="99"/>
    <w:semiHidden/>
    <w:rsid w:val="001F4E4E"/>
    <w:rPr>
      <w:sz w:val="20"/>
      <w:szCs w:val="20"/>
    </w:rPr>
  </w:style>
  <w:style w:type="paragraph" w:styleId="CommentSubject">
    <w:name w:val="annotation subject"/>
    <w:basedOn w:val="CommentText"/>
    <w:next w:val="CommentText"/>
    <w:link w:val="CommentSubjectChar"/>
    <w:uiPriority w:val="99"/>
    <w:semiHidden/>
    <w:unhideWhenUsed/>
    <w:rsid w:val="001F4E4E"/>
    <w:rPr>
      <w:b/>
      <w:bCs/>
    </w:rPr>
  </w:style>
  <w:style w:type="character" w:customStyle="1" w:styleId="CommentSubjectChar">
    <w:name w:val="Comment Subject Char"/>
    <w:basedOn w:val="CommentTextChar"/>
    <w:link w:val="CommentSubject"/>
    <w:uiPriority w:val="99"/>
    <w:semiHidden/>
    <w:rsid w:val="001F4E4E"/>
    <w:rPr>
      <w:b/>
      <w:bCs/>
      <w:sz w:val="20"/>
      <w:szCs w:val="20"/>
    </w:rPr>
  </w:style>
  <w:style w:type="character" w:styleId="Hyperlink">
    <w:name w:val="Hyperlink"/>
    <w:basedOn w:val="DefaultParagraphFont"/>
    <w:uiPriority w:val="99"/>
    <w:unhideWhenUsed/>
    <w:rsid w:val="006A1DE2"/>
    <w:rPr>
      <w:color w:val="0000FF" w:themeColor="hyperlink"/>
      <w:u w:val="single"/>
    </w:rPr>
  </w:style>
  <w:style w:type="paragraph" w:styleId="NormalWeb">
    <w:name w:val="Normal (Web)"/>
    <w:basedOn w:val="Normal"/>
    <w:uiPriority w:val="99"/>
    <w:unhideWhenUsed/>
    <w:rsid w:val="0056410B"/>
    <w:pPr>
      <w:spacing w:before="100" w:beforeAutospacing="1" w:after="100" w:afterAutospacing="1" w:line="240" w:lineRule="auto"/>
    </w:pPr>
    <w:rPr>
      <w:rFonts w:ascii="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cia-recipe.net/" TargetMode="External"/><Relationship Id="rId5" Type="http://schemas.openxmlformats.org/officeDocument/2006/relationships/settings" Target="settings.xml"/><Relationship Id="rId10" Type="http://schemas.openxmlformats.org/officeDocument/2006/relationships/hyperlink" Target="http://www.earthshift.com/software/simapro/traci2" TargetMode="External"/><Relationship Id="rId4" Type="http://schemas.microsoft.com/office/2007/relationships/stylesWithEffects" Target="stylesWithEffects.xml"/><Relationship Id="rId9"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file1.engr.tamu.edu\Employee\Researcher\debalinasengupta\My%20Documents\Project%20at%20TAMU\SMART-RCN%20NSF%20Project\Modules%20from%20Dr%20El-Halwagi%20-%2005-05-2014\Lou\SRCA%20figures%20-%20modified.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file1.engr.tamu.edu\Employee\Researcher\debalinasengupta\My%20Documents\Project%20at%20TAMU\SMART-RCN%20NSF%20Project\Modules%20from%20Dr%20El-Halwagi%20-%2005-05-2014\Lou\SRCA%20figures%20-%20modifie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en-US" sz="1400"/>
              <a:t>Cause vs Percentage Impact</a:t>
            </a:r>
          </a:p>
        </c:rich>
      </c:tx>
      <c:layout>
        <c:manualLayout>
          <c:xMode val="edge"/>
          <c:yMode val="edge"/>
          <c:x val="0.3068170384951881"/>
          <c:y val="1.8518518518518517E-2"/>
        </c:manualLayout>
      </c:layout>
      <c:overlay val="0"/>
    </c:title>
    <c:autoTitleDeleted val="0"/>
    <c:plotArea>
      <c:layout>
        <c:manualLayout>
          <c:layoutTarget val="inner"/>
          <c:xMode val="edge"/>
          <c:yMode val="edge"/>
          <c:x val="0.12364774715660543"/>
          <c:y val="0.13052092446777486"/>
          <c:w val="0.85088928988043167"/>
          <c:h val="0.74488006707494892"/>
        </c:manualLayout>
      </c:layout>
      <c:barChart>
        <c:barDir val="col"/>
        <c:grouping val="clustered"/>
        <c:varyColors val="0"/>
        <c:ser>
          <c:idx val="0"/>
          <c:order val="0"/>
          <c:tx>
            <c:strRef>
              <c:f>Sheet1!$B$1</c:f>
              <c:strCache>
                <c:ptCount val="1"/>
                <c:pt idx="0">
                  <c:v>Percentage Impact (%) </c:v>
                </c:pt>
              </c:strCache>
            </c:strRef>
          </c:tx>
          <c:spPr>
            <a:solidFill>
              <a:schemeClr val="tx1"/>
            </a:solidFill>
          </c:spPr>
          <c:invertIfNegative val="0"/>
          <c:cat>
            <c:strRef>
              <c:f>Sheet1!$A$2:$A$6</c:f>
              <c:strCache>
                <c:ptCount val="5"/>
                <c:pt idx="0">
                  <c:v>Cause 4 </c:v>
                </c:pt>
                <c:pt idx="1">
                  <c:v>Cause 3 </c:v>
                </c:pt>
                <c:pt idx="2">
                  <c:v>Cause 1 </c:v>
                </c:pt>
                <c:pt idx="3">
                  <c:v>Cause 2 </c:v>
                </c:pt>
                <c:pt idx="4">
                  <c:v>Cause 5 </c:v>
                </c:pt>
              </c:strCache>
            </c:strRef>
          </c:cat>
          <c:val>
            <c:numRef>
              <c:f>Sheet1!$B$2:$B$6</c:f>
              <c:numCache>
                <c:formatCode>General</c:formatCode>
                <c:ptCount val="5"/>
                <c:pt idx="0">
                  <c:v>30</c:v>
                </c:pt>
                <c:pt idx="1">
                  <c:v>25</c:v>
                </c:pt>
                <c:pt idx="2">
                  <c:v>20</c:v>
                </c:pt>
                <c:pt idx="3">
                  <c:v>15</c:v>
                </c:pt>
                <c:pt idx="4">
                  <c:v>10</c:v>
                </c:pt>
              </c:numCache>
            </c:numRef>
          </c:val>
        </c:ser>
        <c:dLbls>
          <c:showLegendKey val="0"/>
          <c:showVal val="0"/>
          <c:showCatName val="0"/>
          <c:showSerName val="0"/>
          <c:showPercent val="0"/>
          <c:showBubbleSize val="0"/>
        </c:dLbls>
        <c:gapWidth val="150"/>
        <c:axId val="36400512"/>
        <c:axId val="74569600"/>
      </c:barChart>
      <c:scatterChart>
        <c:scatterStyle val="smoothMarker"/>
        <c:varyColors val="0"/>
        <c:ser>
          <c:idx val="1"/>
          <c:order val="1"/>
          <c:tx>
            <c:strRef>
              <c:f>Sheet1!$C$1</c:f>
              <c:strCache>
                <c:ptCount val="1"/>
                <c:pt idx="0">
                  <c:v>Cumulative Percentage (%) </c:v>
                </c:pt>
              </c:strCache>
            </c:strRef>
          </c:tx>
          <c:spPr>
            <a:ln>
              <a:solidFill>
                <a:schemeClr val="tx1">
                  <a:lumMod val="50000"/>
                  <a:lumOff val="50000"/>
                </a:schemeClr>
              </a:solidFill>
            </a:ln>
          </c:spPr>
          <c:marker>
            <c:symbol val="diamond"/>
            <c:size val="7"/>
            <c:spPr>
              <a:solidFill>
                <a:schemeClr val="bg1">
                  <a:lumMod val="50000"/>
                </a:schemeClr>
              </a:solidFill>
              <a:ln>
                <a:solidFill>
                  <a:schemeClr val="tx1"/>
                </a:solidFill>
              </a:ln>
            </c:spPr>
          </c:marker>
          <c:xVal>
            <c:strRef>
              <c:f>Sheet1!$A$2:$A$6</c:f>
              <c:strCache>
                <c:ptCount val="5"/>
                <c:pt idx="0">
                  <c:v>Cause 4 </c:v>
                </c:pt>
                <c:pt idx="1">
                  <c:v>Cause 3 </c:v>
                </c:pt>
                <c:pt idx="2">
                  <c:v>Cause 1 </c:v>
                </c:pt>
                <c:pt idx="3">
                  <c:v>Cause 2 </c:v>
                </c:pt>
                <c:pt idx="4">
                  <c:v>Cause 5 </c:v>
                </c:pt>
              </c:strCache>
            </c:strRef>
          </c:xVal>
          <c:yVal>
            <c:numRef>
              <c:f>Sheet1!$C$2:$C$6</c:f>
              <c:numCache>
                <c:formatCode>General</c:formatCode>
                <c:ptCount val="5"/>
                <c:pt idx="0">
                  <c:v>30</c:v>
                </c:pt>
                <c:pt idx="1">
                  <c:v>55</c:v>
                </c:pt>
                <c:pt idx="2">
                  <c:v>75</c:v>
                </c:pt>
                <c:pt idx="3">
                  <c:v>90</c:v>
                </c:pt>
                <c:pt idx="4">
                  <c:v>100</c:v>
                </c:pt>
              </c:numCache>
            </c:numRef>
          </c:yVal>
          <c:smooth val="1"/>
        </c:ser>
        <c:dLbls>
          <c:showLegendKey val="0"/>
          <c:showVal val="0"/>
          <c:showCatName val="0"/>
          <c:showSerName val="0"/>
          <c:showPercent val="0"/>
          <c:showBubbleSize val="0"/>
        </c:dLbls>
        <c:axId val="36400512"/>
        <c:axId val="74569600"/>
      </c:scatterChart>
      <c:catAx>
        <c:axId val="36400512"/>
        <c:scaling>
          <c:orientation val="minMax"/>
        </c:scaling>
        <c:delete val="0"/>
        <c:axPos val="b"/>
        <c:majorTickMark val="out"/>
        <c:minorTickMark val="none"/>
        <c:tickLblPos val="nextTo"/>
        <c:txPr>
          <a:bodyPr/>
          <a:lstStyle/>
          <a:p>
            <a:pPr>
              <a:defRPr sz="1100"/>
            </a:pPr>
            <a:endParaRPr lang="en-US"/>
          </a:p>
        </c:txPr>
        <c:crossAx val="74569600"/>
        <c:crosses val="autoZero"/>
        <c:auto val="1"/>
        <c:lblAlgn val="ctr"/>
        <c:lblOffset val="100"/>
        <c:noMultiLvlLbl val="0"/>
      </c:catAx>
      <c:valAx>
        <c:axId val="74569600"/>
        <c:scaling>
          <c:orientation val="minMax"/>
          <c:max val="100"/>
        </c:scaling>
        <c:delete val="0"/>
        <c:axPos val="l"/>
        <c:title>
          <c:tx>
            <c:rich>
              <a:bodyPr rot="-5400000" vert="horz"/>
              <a:lstStyle/>
              <a:p>
                <a:pPr>
                  <a:defRPr sz="1100"/>
                </a:pPr>
                <a:r>
                  <a:rPr lang="en-US" sz="1100"/>
                  <a:t>Percentage Impact (%) </a:t>
                </a:r>
              </a:p>
            </c:rich>
          </c:tx>
          <c:layout/>
          <c:overlay val="0"/>
        </c:title>
        <c:numFmt formatCode="General" sourceLinked="1"/>
        <c:majorTickMark val="out"/>
        <c:minorTickMark val="none"/>
        <c:tickLblPos val="nextTo"/>
        <c:txPr>
          <a:bodyPr/>
          <a:lstStyle/>
          <a:p>
            <a:pPr>
              <a:defRPr sz="1000"/>
            </a:pPr>
            <a:endParaRPr lang="en-US"/>
          </a:p>
        </c:txPr>
        <c:crossAx val="36400512"/>
        <c:crosses val="autoZero"/>
        <c:crossBetween val="between"/>
      </c:valAx>
      <c:spPr>
        <a:ln>
          <a:solidFill>
            <a:sysClr val="windowText" lastClr="000000"/>
          </a:solidFill>
        </a:ln>
      </c:spPr>
    </c:plotArea>
    <c:plotVisOnly val="1"/>
    <c:dispBlanksAs val="gap"/>
    <c:showDLblsOverMax val="0"/>
  </c:chart>
  <c:txPr>
    <a:bodyPr/>
    <a:lstStyle/>
    <a:p>
      <a:pPr>
        <a:defRPr sz="1400"/>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en-US" sz="1400"/>
              <a:t>Cause vs Percentage Impact</a:t>
            </a:r>
          </a:p>
        </c:rich>
      </c:tx>
      <c:layout/>
      <c:overlay val="0"/>
    </c:title>
    <c:autoTitleDeleted val="0"/>
    <c:plotArea>
      <c:layout/>
      <c:barChart>
        <c:barDir val="col"/>
        <c:grouping val="clustered"/>
        <c:varyColors val="0"/>
        <c:ser>
          <c:idx val="0"/>
          <c:order val="0"/>
          <c:tx>
            <c:strRef>
              <c:f>Sheet1!$B$1</c:f>
              <c:strCache>
                <c:ptCount val="1"/>
                <c:pt idx="0">
                  <c:v>Percentage Impact (%) </c:v>
                </c:pt>
              </c:strCache>
            </c:strRef>
          </c:tx>
          <c:spPr>
            <a:solidFill>
              <a:schemeClr val="tx1"/>
            </a:solidFill>
          </c:spPr>
          <c:invertIfNegative val="0"/>
          <c:cat>
            <c:strRef>
              <c:f>Sheet1!$A$2:$A$6</c:f>
              <c:strCache>
                <c:ptCount val="5"/>
                <c:pt idx="0">
                  <c:v>Cause 4 </c:v>
                </c:pt>
                <c:pt idx="1">
                  <c:v>Cause 3 </c:v>
                </c:pt>
                <c:pt idx="2">
                  <c:v>Cause 1 </c:v>
                </c:pt>
                <c:pt idx="3">
                  <c:v>Cause 2 </c:v>
                </c:pt>
                <c:pt idx="4">
                  <c:v>Cause 5 </c:v>
                </c:pt>
              </c:strCache>
            </c:strRef>
          </c:cat>
          <c:val>
            <c:numRef>
              <c:f>Sheet1!$B$2:$B$6</c:f>
              <c:numCache>
                <c:formatCode>General</c:formatCode>
                <c:ptCount val="5"/>
                <c:pt idx="0">
                  <c:v>30</c:v>
                </c:pt>
                <c:pt idx="1">
                  <c:v>25</c:v>
                </c:pt>
                <c:pt idx="2">
                  <c:v>20</c:v>
                </c:pt>
                <c:pt idx="3">
                  <c:v>15</c:v>
                </c:pt>
                <c:pt idx="4">
                  <c:v>10</c:v>
                </c:pt>
              </c:numCache>
            </c:numRef>
          </c:val>
        </c:ser>
        <c:dLbls>
          <c:showLegendKey val="0"/>
          <c:showVal val="0"/>
          <c:showCatName val="0"/>
          <c:showSerName val="0"/>
          <c:showPercent val="0"/>
          <c:showBubbleSize val="0"/>
        </c:dLbls>
        <c:gapWidth val="150"/>
        <c:axId val="87171456"/>
        <c:axId val="90698112"/>
      </c:barChart>
      <c:scatterChart>
        <c:scatterStyle val="smoothMarker"/>
        <c:varyColors val="0"/>
        <c:ser>
          <c:idx val="1"/>
          <c:order val="1"/>
          <c:tx>
            <c:strRef>
              <c:f>Sheet1!$C$1</c:f>
              <c:strCache>
                <c:ptCount val="1"/>
                <c:pt idx="0">
                  <c:v>Cumulative Percentage (%) </c:v>
                </c:pt>
              </c:strCache>
            </c:strRef>
          </c:tx>
          <c:spPr>
            <a:ln>
              <a:solidFill>
                <a:schemeClr val="tx1">
                  <a:lumMod val="50000"/>
                  <a:lumOff val="50000"/>
                </a:schemeClr>
              </a:solidFill>
            </a:ln>
          </c:spPr>
          <c:marker>
            <c:symbol val="diamond"/>
            <c:size val="7"/>
            <c:spPr>
              <a:solidFill>
                <a:schemeClr val="bg1">
                  <a:lumMod val="50000"/>
                </a:schemeClr>
              </a:solidFill>
              <a:ln>
                <a:solidFill>
                  <a:schemeClr val="tx1"/>
                </a:solidFill>
              </a:ln>
            </c:spPr>
          </c:marker>
          <c:xVal>
            <c:strRef>
              <c:f>Sheet1!$A$2:$A$6</c:f>
              <c:strCache>
                <c:ptCount val="5"/>
                <c:pt idx="0">
                  <c:v>Cause 4 </c:v>
                </c:pt>
                <c:pt idx="1">
                  <c:v>Cause 3 </c:v>
                </c:pt>
                <c:pt idx="2">
                  <c:v>Cause 1 </c:v>
                </c:pt>
                <c:pt idx="3">
                  <c:v>Cause 2 </c:v>
                </c:pt>
                <c:pt idx="4">
                  <c:v>Cause 5 </c:v>
                </c:pt>
              </c:strCache>
            </c:strRef>
          </c:xVal>
          <c:yVal>
            <c:numRef>
              <c:f>Sheet1!$C$2:$C$6</c:f>
              <c:numCache>
                <c:formatCode>General</c:formatCode>
                <c:ptCount val="5"/>
                <c:pt idx="0">
                  <c:v>30</c:v>
                </c:pt>
                <c:pt idx="1">
                  <c:v>55</c:v>
                </c:pt>
                <c:pt idx="2">
                  <c:v>75</c:v>
                </c:pt>
                <c:pt idx="3">
                  <c:v>90</c:v>
                </c:pt>
                <c:pt idx="4">
                  <c:v>100</c:v>
                </c:pt>
              </c:numCache>
            </c:numRef>
          </c:yVal>
          <c:smooth val="1"/>
        </c:ser>
        <c:dLbls>
          <c:showLegendKey val="0"/>
          <c:showVal val="0"/>
          <c:showCatName val="0"/>
          <c:showSerName val="0"/>
          <c:showPercent val="0"/>
          <c:showBubbleSize val="0"/>
        </c:dLbls>
        <c:axId val="87171456"/>
        <c:axId val="90698112"/>
      </c:scatterChart>
      <c:catAx>
        <c:axId val="87171456"/>
        <c:scaling>
          <c:orientation val="minMax"/>
        </c:scaling>
        <c:delete val="0"/>
        <c:axPos val="b"/>
        <c:majorTickMark val="out"/>
        <c:minorTickMark val="none"/>
        <c:tickLblPos val="nextTo"/>
        <c:txPr>
          <a:bodyPr/>
          <a:lstStyle/>
          <a:p>
            <a:pPr>
              <a:defRPr sz="1100"/>
            </a:pPr>
            <a:endParaRPr lang="en-US"/>
          </a:p>
        </c:txPr>
        <c:crossAx val="90698112"/>
        <c:crosses val="autoZero"/>
        <c:auto val="1"/>
        <c:lblAlgn val="ctr"/>
        <c:lblOffset val="100"/>
        <c:noMultiLvlLbl val="0"/>
      </c:catAx>
      <c:valAx>
        <c:axId val="90698112"/>
        <c:scaling>
          <c:orientation val="minMax"/>
          <c:max val="100"/>
        </c:scaling>
        <c:delete val="0"/>
        <c:axPos val="l"/>
        <c:title>
          <c:tx>
            <c:rich>
              <a:bodyPr rot="-5400000" vert="horz"/>
              <a:lstStyle/>
              <a:p>
                <a:pPr>
                  <a:defRPr sz="1100"/>
                </a:pPr>
                <a:r>
                  <a:rPr lang="en-US" sz="1100"/>
                  <a:t>Percentage Impact (%) </a:t>
                </a:r>
              </a:p>
            </c:rich>
          </c:tx>
          <c:layout/>
          <c:overlay val="0"/>
        </c:title>
        <c:numFmt formatCode="General" sourceLinked="1"/>
        <c:majorTickMark val="out"/>
        <c:minorTickMark val="none"/>
        <c:tickLblPos val="nextTo"/>
        <c:txPr>
          <a:bodyPr/>
          <a:lstStyle/>
          <a:p>
            <a:pPr>
              <a:defRPr sz="1000"/>
            </a:pPr>
            <a:endParaRPr lang="en-US"/>
          </a:p>
        </c:txPr>
        <c:crossAx val="87171456"/>
        <c:crosses val="autoZero"/>
        <c:crossBetween val="between"/>
      </c:valAx>
      <c:spPr>
        <a:ln>
          <a:solidFill>
            <a:sysClr val="windowText" lastClr="000000"/>
          </a:solidFill>
        </a:ln>
      </c:spPr>
    </c:plotArea>
    <c:plotVisOnly val="1"/>
    <c:dispBlanksAs val="gap"/>
    <c:showDLblsOverMax val="0"/>
  </c:chart>
  <c:txPr>
    <a:bodyPr/>
    <a:lstStyle/>
    <a:p>
      <a:pPr>
        <a:defRPr sz="1400"/>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0.12153</cdr:x>
      <cdr:y>0.3125</cdr:y>
    </cdr:from>
    <cdr:to>
      <cdr:x>0.59896</cdr:x>
      <cdr:y>0.31467</cdr:y>
    </cdr:to>
    <cdr:cxnSp macro="">
      <cdr:nvCxnSpPr>
        <cdr:cNvPr id="3" name="Straight Connector 2"/>
        <cdr:cNvCxnSpPr/>
      </cdr:nvCxnSpPr>
      <cdr:spPr>
        <a:xfrm xmlns:a="http://schemas.openxmlformats.org/drawingml/2006/main" flipV="1">
          <a:off x="666751" y="857250"/>
          <a:ext cx="2619375" cy="5953"/>
        </a:xfrm>
        <a:prstGeom xmlns:a="http://schemas.openxmlformats.org/drawingml/2006/main" prst="line">
          <a:avLst/>
        </a:prstGeom>
        <a:ln xmlns:a="http://schemas.openxmlformats.org/drawingml/2006/main">
          <a:prstDash val="sysDash"/>
        </a:ln>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cxnSp>
  </cdr:relSizeAnchor>
  <cdr:relSizeAnchor xmlns:cdr="http://schemas.openxmlformats.org/drawingml/2006/chartDrawing">
    <cdr:from>
      <cdr:x>0.59858</cdr:x>
      <cdr:y>0.31467</cdr:y>
    </cdr:from>
    <cdr:to>
      <cdr:x>0.59858</cdr:x>
      <cdr:y>0.8724</cdr:y>
    </cdr:to>
    <cdr:cxnSp macro="">
      <cdr:nvCxnSpPr>
        <cdr:cNvPr id="6" name="Straight Connector 5"/>
        <cdr:cNvCxnSpPr/>
      </cdr:nvCxnSpPr>
      <cdr:spPr>
        <a:xfrm xmlns:a="http://schemas.openxmlformats.org/drawingml/2006/main" flipH="1">
          <a:off x="3284071" y="863203"/>
          <a:ext cx="0" cy="1529954"/>
        </a:xfrm>
        <a:prstGeom xmlns:a="http://schemas.openxmlformats.org/drawingml/2006/main" prst="line">
          <a:avLst/>
        </a:prstGeom>
        <a:ln xmlns:a="http://schemas.openxmlformats.org/drawingml/2006/main">
          <a:prstDash val="sysDash"/>
        </a:ln>
      </cdr:spPr>
      <cdr:style>
        <a:lnRef xmlns:a="http://schemas.openxmlformats.org/drawingml/2006/main" idx="2">
          <a:schemeClr val="dk1"/>
        </a:lnRef>
        <a:fillRef xmlns:a="http://schemas.openxmlformats.org/drawingml/2006/main" idx="0">
          <a:schemeClr val="dk1"/>
        </a:fillRef>
        <a:effectRef xmlns:a="http://schemas.openxmlformats.org/drawingml/2006/main" idx="1">
          <a:schemeClr val="dk1"/>
        </a:effectRef>
        <a:fontRef xmlns:a="http://schemas.openxmlformats.org/drawingml/2006/main" idx="minor">
          <a:schemeClr val="tx1"/>
        </a:fontRef>
      </cdr:style>
    </cdr:cxnSp>
  </cdr:relSizeAnchor>
  <cdr:relSizeAnchor xmlns:cdr="http://schemas.openxmlformats.org/drawingml/2006/chartDrawing">
    <cdr:from>
      <cdr:x>0.12587</cdr:x>
      <cdr:y>0.52951</cdr:y>
    </cdr:from>
    <cdr:to>
      <cdr:x>0.59679</cdr:x>
      <cdr:y>0.60733</cdr:y>
    </cdr:to>
    <cdr:sp macro="" textlink="">
      <cdr:nvSpPr>
        <cdr:cNvPr id="9" name="Left Brace 8"/>
        <cdr:cNvSpPr/>
      </cdr:nvSpPr>
      <cdr:spPr>
        <a:xfrm xmlns:a="http://schemas.openxmlformats.org/drawingml/2006/main" rot="16200000" flipV="1">
          <a:off x="1875663" y="267463"/>
          <a:ext cx="213457" cy="2583656"/>
        </a:xfrm>
        <a:prstGeom xmlns:a="http://schemas.openxmlformats.org/drawingml/2006/main" prst="leftBrace">
          <a:avLst>
            <a:gd name="adj1" fmla="val 71115"/>
            <a:gd name="adj2" fmla="val 50000"/>
          </a:avLst>
        </a:prstGeom>
        <a:noFill xmlns:a="http://schemas.openxmlformats.org/drawingml/2006/main"/>
        <a:ln xmlns:a="http://schemas.openxmlformats.org/drawingml/2006/main">
          <a:solidFill>
            <a:sysClr val="windowText" lastClr="00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0.60004</cdr:x>
      <cdr:y>0.53168</cdr:y>
    </cdr:from>
    <cdr:to>
      <cdr:x>0.97222</cdr:x>
      <cdr:y>0.60414</cdr:y>
    </cdr:to>
    <cdr:sp macro="" textlink="">
      <cdr:nvSpPr>
        <cdr:cNvPr id="10" name="Left Brace 9"/>
        <cdr:cNvSpPr/>
      </cdr:nvSpPr>
      <cdr:spPr>
        <a:xfrm xmlns:a="http://schemas.openxmlformats.org/drawingml/2006/main" rot="16200000" flipV="1">
          <a:off x="4213653" y="536940"/>
          <a:ext cx="198773" cy="2041922"/>
        </a:xfrm>
        <a:prstGeom xmlns:a="http://schemas.openxmlformats.org/drawingml/2006/main" prst="leftBrace">
          <a:avLst>
            <a:gd name="adj1" fmla="val 71115"/>
            <a:gd name="adj2" fmla="val 50000"/>
          </a:avLst>
        </a:prstGeom>
        <a:noFill xmlns:a="http://schemas.openxmlformats.org/drawingml/2006/main"/>
        <a:ln xmlns:a="http://schemas.openxmlformats.org/drawingml/2006/main">
          <a:solidFill>
            <a:sysClr val="windowText" lastClr="00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endParaRPr lang="en-US"/>
        </a:p>
      </cdr:txBody>
    </cdr:sp>
  </cdr:relSizeAnchor>
  <cdr:relSizeAnchor xmlns:cdr="http://schemas.openxmlformats.org/drawingml/2006/chartDrawing">
    <cdr:from>
      <cdr:x>0.27836</cdr:x>
      <cdr:y>0.61415</cdr:y>
    </cdr:from>
    <cdr:to>
      <cdr:x>0.4966</cdr:x>
      <cdr:y>0.7053</cdr:y>
    </cdr:to>
    <cdr:sp macro="" textlink="">
      <cdr:nvSpPr>
        <cdr:cNvPr id="11" name="TextBox 10"/>
        <cdr:cNvSpPr txBox="1"/>
      </cdr:nvSpPr>
      <cdr:spPr>
        <a:xfrm xmlns:a="http://schemas.openxmlformats.org/drawingml/2006/main">
          <a:off x="1268016" y="1684734"/>
          <a:ext cx="994172" cy="25003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a:t>Major Causes</a:t>
          </a:r>
        </a:p>
      </cdr:txBody>
    </cdr:sp>
  </cdr:relSizeAnchor>
  <cdr:relSizeAnchor xmlns:cdr="http://schemas.openxmlformats.org/drawingml/2006/chartDrawing">
    <cdr:from>
      <cdr:x>0.68549</cdr:x>
      <cdr:y>0.61314</cdr:y>
    </cdr:from>
    <cdr:to>
      <cdr:x>0.90373</cdr:x>
      <cdr:y>0.70428</cdr:y>
    </cdr:to>
    <cdr:sp macro="" textlink="">
      <cdr:nvSpPr>
        <cdr:cNvPr id="12" name="TextBox 1"/>
        <cdr:cNvSpPr txBox="1"/>
      </cdr:nvSpPr>
      <cdr:spPr>
        <a:xfrm xmlns:a="http://schemas.openxmlformats.org/drawingml/2006/main">
          <a:off x="3122613" y="1681956"/>
          <a:ext cx="994172" cy="250032"/>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1100"/>
            <a:t>Minor Causes</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A6F39-C9EB-46B1-80A6-B34FC2CAC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3CFBADFD</Template>
  <TotalTime>123</TotalTime>
  <Pages>10</Pages>
  <Words>2429</Words>
  <Characters>13848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Texas A&amp;M University</Company>
  <LinksUpToDate>false</LinksUpToDate>
  <CharactersWithSpaces>16245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2014-11-26T20:20:00Z</dcterms:created>
  <dcterms:modified xsi:type="dcterms:W3CDTF">2014-12-15T21:14:00Z</dcterms:modified>
</cp:coreProperties>
</file>